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600" w:lineRule="exact"/>
        <w:ind w:firstLine="1080" w:firstLineChars="30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年度温州市市级工业设计中心认定名单</w:t>
      </w: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7"/>
        <w:gridCol w:w="759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249" w:firstLineChars="80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75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浙江金瑞五金索具有限公司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唐工阀门集团有限公司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瑞浦能源有限公司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良工阀门集团有限公司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浙江魔豆科技有限公司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精工阀门有限公司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浙江挺宇流体设备股份有限公司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75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温州康莱方医用塑料有限公司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温州雪歌服饰有限公司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德赛集团有限公司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浙江鼎业机械设备有限公司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浙江东经科技股份有限公司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温州市远华企业有限公司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温州中民眼镜有限公司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浙江亨达光学有限公司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浙江因特佳智能科技有限公司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浙江万超电器有限公司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金卡智能集团股份有限公司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浙江振特电气有限公司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欣灵电气股份有限公司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俊郎电气有限公司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南洋电气集团有限公司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浙江瑞森路政设施有限公司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浙江雅虎汽车部件有限公司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浙江中特机械科技股份有限公司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浙江贝尔控制阀门有限公司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卡贝科技股份有限公司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浙江科尔泵业股份有限公司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瑞安市江南铝业有限公司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瑞安市奥尔印刷包装机械有限公司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浙江汉博汽车传感器有限公司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瑞安市大桥包装机械有限公司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温州华邦安全封条股份有限公司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特技阀门集团有限公司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工正集团有限公司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7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温州金马文具用品制造有限公司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浙江明泰控股发展股份有限公司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温州正泰电源电器有限公司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方正阀门集团股份有限公司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温州鸿升集团有限公司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浙江志达管业有限公司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建达电气有限公司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浙江天联机械有限公司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7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温州金榜轻工机械有限公司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75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C2047"/>
    <w:rsid w:val="413C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2020-08-10T01:30:00Z</dcterms:created>
  <dc:creator>宝贝霓霓</dc:creator>
  <cp:lastModifiedBy>宝贝霓霓</cp:lastModifiedBy>
  <dcterms:modified xsi:type="dcterms:W3CDTF">2020-08-10T01:31:02Z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