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eastAsia="黑体"/>
          <w:sz w:val="31"/>
          <w:szCs w:val="31"/>
        </w:rPr>
      </w:pPr>
      <w:r>
        <w:rPr>
          <w:rFonts w:hint="default" w:ascii="Times New Roman" w:hAnsi="Times New Roman" w:eastAsia="黑体"/>
          <w:sz w:val="31"/>
          <w:szCs w:val="31"/>
        </w:rPr>
        <w:t>附件</w:t>
      </w:r>
      <w:r>
        <w:rPr>
          <w:rFonts w:hint="eastAsia" w:ascii="Times New Roman" w:hAnsi="Times New Roman" w:eastAsia="黑体"/>
          <w:sz w:val="31"/>
          <w:szCs w:val="31"/>
          <w:lang w:val="en-US" w:eastAsia="zh-CN"/>
        </w:rPr>
        <w:t>4</w:t>
      </w:r>
    </w:p>
    <w:p>
      <w:pPr>
        <w:pStyle w:val="6"/>
        <w:spacing w:line="480" w:lineRule="exact"/>
        <w:jc w:val="center"/>
        <w:rPr>
          <w:rFonts w:hint="default" w:ascii="Times New Roman" w:hAnsi="Times New Roman" w:eastAsia="黑体"/>
          <w:sz w:val="31"/>
          <w:szCs w:val="31"/>
        </w:rPr>
      </w:pPr>
      <w:r>
        <w:rPr>
          <w:rFonts w:hint="eastAsia" w:ascii="Times New Roman" w:hAnsi="Times New Roman" w:eastAsia="方正小标宋简体"/>
          <w:kern w:val="0"/>
          <w:sz w:val="42"/>
          <w:szCs w:val="42"/>
          <w:lang w:eastAsia="zh-CN" w:bidi="ar"/>
        </w:rPr>
        <w:t>工业设计</w:t>
      </w:r>
      <w:r>
        <w:rPr>
          <w:rFonts w:hint="default" w:ascii="Times New Roman" w:hAnsi="Times New Roman" w:eastAsia="方正小标宋简体"/>
          <w:kern w:val="0"/>
          <w:sz w:val="42"/>
          <w:szCs w:val="42"/>
          <w:lang w:bidi="ar"/>
        </w:rPr>
        <w:t>诊断服务专家评分表</w:t>
      </w:r>
    </w:p>
    <w:tbl>
      <w:tblPr>
        <w:tblStyle w:val="4"/>
        <w:tblW w:w="10035" w:type="dxa"/>
        <w:jc w:val="center"/>
        <w:tblLayout w:type="fixed"/>
        <w:tblCellMar>
          <w:top w:w="15" w:type="dxa"/>
          <w:left w:w="15" w:type="dxa"/>
          <w:bottom w:w="15" w:type="dxa"/>
          <w:right w:w="15" w:type="dxa"/>
        </w:tblCellMar>
      </w:tblPr>
      <w:tblGrid>
        <w:gridCol w:w="1168"/>
        <w:gridCol w:w="1110"/>
        <w:gridCol w:w="6090"/>
        <w:gridCol w:w="855"/>
        <w:gridCol w:w="812"/>
      </w:tblGrid>
      <w:tr>
        <w:tblPrEx>
          <w:tblCellMar>
            <w:top w:w="15" w:type="dxa"/>
            <w:left w:w="15" w:type="dxa"/>
            <w:bottom w:w="15" w:type="dxa"/>
            <w:right w:w="15" w:type="dxa"/>
          </w:tblCellMar>
        </w:tblPrEx>
        <w:trPr>
          <w:trHeight w:val="840" w:hRule="atLeast"/>
          <w:jc w:val="center"/>
        </w:trPr>
        <w:tc>
          <w:tcPr>
            <w:tcW w:w="1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项目</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评分点</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评分内容</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项分值</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得分</w:t>
            </w:r>
          </w:p>
        </w:tc>
      </w:tr>
      <w:tr>
        <w:tblPrEx>
          <w:tblCellMar>
            <w:top w:w="15" w:type="dxa"/>
            <w:left w:w="15" w:type="dxa"/>
            <w:bottom w:w="15" w:type="dxa"/>
            <w:right w:w="15" w:type="dxa"/>
          </w:tblCellMar>
        </w:tblPrEx>
        <w:trPr>
          <w:trHeight w:val="1333" w:hRule="atLeast"/>
          <w:jc w:val="center"/>
        </w:trPr>
        <w:tc>
          <w:tcPr>
            <w:tcW w:w="116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诊断工作量</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（30分）</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工作耗时</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按服务次数或天数累加计算，每服务一次得1分，服务一天得2分，满分为10分。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（备注：如材料未能反映工作耗时，由专家估算工作耗时）</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081" w:hRule="atLeast"/>
          <w:jc w:val="center"/>
        </w:trPr>
        <w:tc>
          <w:tcPr>
            <w:tcW w:w="1168" w:type="dxa"/>
            <w:vMerge w:val="continue"/>
            <w:tcBorders>
              <w:left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实地调研</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1、实地调研3次以上的，得10分；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2、实地调研2次的，得8分；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3、实地调研1次的，得5分。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733" w:hRule="atLeast"/>
          <w:jc w:val="center"/>
        </w:trPr>
        <w:tc>
          <w:tcPr>
            <w:tcW w:w="1168"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服务量</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sz w:val="24"/>
                <w:szCs w:val="24"/>
              </w:rPr>
            </w:pPr>
            <w:r>
              <w:rPr>
                <w:rFonts w:ascii="Times New Roman" w:hAnsi="Times New Roman"/>
                <w:kern w:val="0"/>
                <w:sz w:val="24"/>
                <w:szCs w:val="24"/>
                <w:lang w:bidi="ar"/>
              </w:rPr>
              <w:t>1、提出解决办法、路径、方案等服务量多的，得10分；</w:t>
            </w:r>
            <w:r>
              <w:rPr>
                <w:rFonts w:ascii="Times New Roman" w:hAnsi="Times New Roman"/>
                <w:kern w:val="0"/>
                <w:sz w:val="24"/>
                <w:szCs w:val="24"/>
                <w:lang w:bidi="ar"/>
              </w:rPr>
              <w:br w:type="textWrapping"/>
            </w:r>
            <w:r>
              <w:rPr>
                <w:rFonts w:ascii="Times New Roman" w:hAnsi="Times New Roman"/>
                <w:kern w:val="0"/>
                <w:sz w:val="24"/>
                <w:szCs w:val="24"/>
                <w:lang w:bidi="ar"/>
              </w:rPr>
              <w:t>2、提出解决办法、路径、方案等服务量较多的，得8分；</w:t>
            </w:r>
            <w:r>
              <w:rPr>
                <w:rFonts w:ascii="Times New Roman" w:hAnsi="Times New Roman"/>
                <w:kern w:val="0"/>
                <w:sz w:val="24"/>
                <w:szCs w:val="24"/>
                <w:lang w:bidi="ar"/>
              </w:rPr>
              <w:br w:type="textWrapping"/>
            </w:r>
            <w:r>
              <w:rPr>
                <w:rFonts w:ascii="Times New Roman" w:hAnsi="Times New Roman"/>
                <w:kern w:val="0"/>
                <w:sz w:val="24"/>
                <w:szCs w:val="24"/>
                <w:lang w:bidi="ar"/>
              </w:rPr>
              <w:t>3、提出解决办法、路径、方案等服务量一般的，得5分；</w:t>
            </w:r>
            <w:r>
              <w:rPr>
                <w:rFonts w:ascii="Times New Roman" w:hAnsi="Times New Roman"/>
                <w:kern w:val="0"/>
                <w:sz w:val="24"/>
                <w:szCs w:val="24"/>
                <w:lang w:bidi="ar"/>
              </w:rPr>
              <w:br w:type="textWrapping"/>
            </w:r>
            <w:r>
              <w:rPr>
                <w:rFonts w:ascii="Times New Roman" w:hAnsi="Times New Roman"/>
                <w:kern w:val="0"/>
                <w:sz w:val="24"/>
                <w:szCs w:val="24"/>
                <w:lang w:bidi="ar"/>
              </w:rPr>
              <w:t>4、提出解决办法、路径、方案等服务量少的，得3分；</w:t>
            </w:r>
            <w:r>
              <w:rPr>
                <w:rFonts w:ascii="Times New Roman" w:hAnsi="Times New Roman"/>
                <w:kern w:val="0"/>
                <w:sz w:val="24"/>
                <w:szCs w:val="24"/>
                <w:lang w:bidi="ar"/>
              </w:rPr>
              <w:br w:type="textWrapping"/>
            </w:r>
            <w:r>
              <w:rPr>
                <w:rFonts w:ascii="Times New Roman" w:hAnsi="Times New Roman"/>
                <w:kern w:val="0"/>
                <w:sz w:val="24"/>
                <w:szCs w:val="24"/>
                <w:lang w:bidi="ar"/>
              </w:rPr>
              <w:t>5、提出解决办法、路径、方案等服务量较少的，得1分。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254" w:hRule="atLeast"/>
          <w:jc w:val="center"/>
        </w:trPr>
        <w:tc>
          <w:tcPr>
            <w:tcW w:w="11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诊断难度</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（40分）</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企业</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规模</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sz w:val="24"/>
                <w:szCs w:val="24"/>
              </w:rPr>
            </w:pPr>
            <w:r>
              <w:rPr>
                <w:rFonts w:ascii="Times New Roman" w:hAnsi="Times New Roman"/>
                <w:kern w:val="0"/>
                <w:sz w:val="24"/>
                <w:szCs w:val="24"/>
                <w:lang w:bidi="ar"/>
              </w:rPr>
              <w:t>1、上年度主营业务收入</w:t>
            </w:r>
            <w:r>
              <w:rPr>
                <w:rFonts w:hint="eastAsia" w:ascii="Times New Roman" w:hAnsi="Times New Roman"/>
                <w:kern w:val="0"/>
                <w:sz w:val="24"/>
                <w:szCs w:val="24"/>
                <w:lang w:val="en-US" w:eastAsia="zh-CN" w:bidi="ar"/>
              </w:rPr>
              <w:t>1</w:t>
            </w:r>
            <w:r>
              <w:rPr>
                <w:rFonts w:ascii="Times New Roman" w:hAnsi="Times New Roman"/>
                <w:kern w:val="0"/>
                <w:sz w:val="24"/>
                <w:szCs w:val="24"/>
                <w:lang w:bidi="ar"/>
              </w:rPr>
              <w:t>0亿元以上的得10分；</w:t>
            </w:r>
            <w:r>
              <w:rPr>
                <w:rFonts w:ascii="Times New Roman" w:hAnsi="Times New Roman"/>
                <w:kern w:val="0"/>
                <w:sz w:val="24"/>
                <w:szCs w:val="24"/>
                <w:lang w:bidi="ar"/>
              </w:rPr>
              <w:br w:type="textWrapping"/>
            </w:r>
            <w:r>
              <w:rPr>
                <w:rFonts w:ascii="Times New Roman" w:hAnsi="Times New Roman"/>
                <w:kern w:val="0"/>
                <w:sz w:val="24"/>
                <w:szCs w:val="24"/>
                <w:lang w:bidi="ar"/>
              </w:rPr>
              <w:t>2、上年度主营业务收入</w:t>
            </w:r>
            <w:r>
              <w:rPr>
                <w:rFonts w:hint="eastAsia" w:ascii="Times New Roman" w:hAnsi="Times New Roman"/>
                <w:kern w:val="0"/>
                <w:sz w:val="24"/>
                <w:szCs w:val="24"/>
                <w:lang w:val="en-US" w:eastAsia="zh-CN" w:bidi="ar"/>
              </w:rPr>
              <w:t>5</w:t>
            </w:r>
            <w:r>
              <w:rPr>
                <w:rFonts w:ascii="Times New Roman" w:hAnsi="Times New Roman"/>
                <w:kern w:val="0"/>
                <w:sz w:val="24"/>
                <w:szCs w:val="24"/>
                <w:lang w:bidi="ar"/>
              </w:rPr>
              <w:t>至</w:t>
            </w:r>
            <w:r>
              <w:rPr>
                <w:rFonts w:hint="eastAsia" w:ascii="Times New Roman" w:hAnsi="Times New Roman"/>
                <w:kern w:val="0"/>
                <w:sz w:val="24"/>
                <w:szCs w:val="24"/>
                <w:lang w:val="en-US" w:eastAsia="zh-CN" w:bidi="ar"/>
              </w:rPr>
              <w:t>1</w:t>
            </w:r>
            <w:r>
              <w:rPr>
                <w:rFonts w:ascii="Times New Roman" w:hAnsi="Times New Roman"/>
                <w:kern w:val="0"/>
                <w:sz w:val="24"/>
                <w:szCs w:val="24"/>
                <w:lang w:bidi="ar"/>
              </w:rPr>
              <w:t>0亿元的得8分；</w:t>
            </w:r>
            <w:r>
              <w:rPr>
                <w:rFonts w:ascii="Times New Roman" w:hAnsi="Times New Roman"/>
                <w:kern w:val="0"/>
                <w:sz w:val="24"/>
                <w:szCs w:val="24"/>
                <w:lang w:bidi="ar"/>
              </w:rPr>
              <w:br w:type="textWrapping"/>
            </w:r>
            <w:r>
              <w:rPr>
                <w:rFonts w:ascii="Times New Roman" w:hAnsi="Times New Roman"/>
                <w:kern w:val="0"/>
                <w:sz w:val="24"/>
                <w:szCs w:val="24"/>
                <w:lang w:bidi="ar"/>
              </w:rPr>
              <w:t>3、上年度主营业务收入1至</w:t>
            </w:r>
            <w:r>
              <w:rPr>
                <w:rFonts w:hint="eastAsia" w:ascii="Times New Roman" w:hAnsi="Times New Roman"/>
                <w:kern w:val="0"/>
                <w:sz w:val="24"/>
                <w:szCs w:val="24"/>
                <w:lang w:val="en-US" w:eastAsia="zh-CN" w:bidi="ar"/>
              </w:rPr>
              <w:t>5</w:t>
            </w:r>
            <w:r>
              <w:rPr>
                <w:rFonts w:ascii="Times New Roman" w:hAnsi="Times New Roman"/>
                <w:kern w:val="0"/>
                <w:sz w:val="24"/>
                <w:szCs w:val="24"/>
                <w:lang w:bidi="ar"/>
              </w:rPr>
              <w:t>亿元的得5分；</w:t>
            </w:r>
            <w:r>
              <w:rPr>
                <w:rFonts w:ascii="Times New Roman" w:hAnsi="Times New Roman"/>
                <w:kern w:val="0"/>
                <w:sz w:val="24"/>
                <w:szCs w:val="24"/>
                <w:lang w:bidi="ar"/>
              </w:rPr>
              <w:br w:type="textWrapping"/>
            </w:r>
            <w:r>
              <w:rPr>
                <w:rFonts w:ascii="Times New Roman" w:hAnsi="Times New Roman"/>
                <w:kern w:val="0"/>
                <w:sz w:val="24"/>
                <w:szCs w:val="24"/>
                <w:lang w:bidi="ar"/>
              </w:rPr>
              <w:t>4、上年度主营业务收入1亿元以下的得2分。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887"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sz w:val="24"/>
                <w:szCs w:val="24"/>
              </w:rPr>
              <w:t>问题难度</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1、问题在同领域工作中难度高的，得10分；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2、问题在同领域工作中难度较高的，得8分；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3、问题在同领域工作中难度一般的，得6分；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4、问题在同领域工作中难度低的，得4分；</w:t>
            </w:r>
          </w:p>
          <w:p>
            <w:pPr>
              <w:widowControl/>
              <w:jc w:val="left"/>
              <w:textAlignment w:val="center"/>
              <w:rPr>
                <w:rFonts w:ascii="Times New Roman" w:hAnsi="Times New Roman"/>
                <w:sz w:val="24"/>
                <w:szCs w:val="24"/>
              </w:rPr>
            </w:pPr>
            <w:r>
              <w:rPr>
                <w:rFonts w:ascii="Times New Roman" w:hAnsi="Times New Roman"/>
                <w:kern w:val="0"/>
                <w:sz w:val="24"/>
                <w:szCs w:val="24"/>
                <w:lang w:bidi="ar"/>
              </w:rPr>
              <w:t>5、问题在同领域工作中难度较低的，得2分。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285"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r>
              <w:rPr>
                <w:rFonts w:ascii="Times New Roman" w:hAnsi="Times New Roman"/>
                <w:sz w:val="24"/>
                <w:szCs w:val="24"/>
              </w:rPr>
              <w:t>服务成果水平</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ascii="Times New Roman" w:hAnsi="Times New Roman"/>
                <w:kern w:val="0"/>
                <w:sz w:val="24"/>
                <w:szCs w:val="24"/>
                <w:lang w:bidi="ar"/>
              </w:rPr>
            </w:pPr>
            <w:r>
              <w:rPr>
                <w:rFonts w:ascii="Times New Roman" w:hAnsi="Times New Roman"/>
                <w:kern w:val="0"/>
                <w:sz w:val="24"/>
                <w:szCs w:val="24"/>
                <w:lang w:bidi="ar"/>
              </w:rPr>
              <w:t>服务成果达到国内先进水平的，得10分；</w:t>
            </w:r>
          </w:p>
          <w:p>
            <w:pPr>
              <w:widowControl/>
              <w:numPr>
                <w:ilvl w:val="0"/>
                <w:numId w:val="1"/>
              </w:numPr>
              <w:jc w:val="left"/>
              <w:textAlignment w:val="center"/>
              <w:rPr>
                <w:rFonts w:ascii="Times New Roman" w:hAnsi="Times New Roman"/>
                <w:kern w:val="0"/>
                <w:sz w:val="24"/>
                <w:szCs w:val="24"/>
                <w:lang w:bidi="ar"/>
              </w:rPr>
            </w:pPr>
            <w:r>
              <w:rPr>
                <w:rFonts w:ascii="Times New Roman" w:hAnsi="Times New Roman"/>
                <w:kern w:val="0"/>
                <w:sz w:val="24"/>
                <w:szCs w:val="24"/>
                <w:lang w:bidi="ar"/>
              </w:rPr>
              <w:t>服务成果达到省内先进水平的，得8分；</w:t>
            </w:r>
          </w:p>
          <w:p>
            <w:pPr>
              <w:widowControl/>
              <w:numPr>
                <w:ilvl w:val="0"/>
                <w:numId w:val="1"/>
              </w:numPr>
              <w:jc w:val="left"/>
              <w:textAlignment w:val="center"/>
              <w:rPr>
                <w:rFonts w:ascii="Times New Roman" w:hAnsi="Times New Roman"/>
                <w:kern w:val="0"/>
                <w:sz w:val="24"/>
                <w:szCs w:val="24"/>
                <w:lang w:bidi="ar"/>
              </w:rPr>
            </w:pPr>
            <w:r>
              <w:rPr>
                <w:rFonts w:ascii="Times New Roman" w:hAnsi="Times New Roman"/>
                <w:kern w:val="0"/>
                <w:sz w:val="24"/>
                <w:szCs w:val="24"/>
                <w:lang w:bidi="ar"/>
              </w:rPr>
              <w:t>服务成果达到市内先进水平的，得5分。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r>
              <w:rPr>
                <w:rFonts w:ascii="Times New Roman" w:hAnsi="Times New Roman"/>
                <w:sz w:val="24"/>
                <w:szCs w:val="24"/>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219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参与专家</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层次</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1、邀请国内知名智库，或境外专家参与诊断的，得10分；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2、邀请高级职称专家参与诊断的，得8分；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3、邀请副高级职称专家参与诊断的，得5分；</w:t>
            </w: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4、邀请中级职称专家参与诊断的，得2分；</w:t>
            </w:r>
          </w:p>
          <w:p>
            <w:pPr>
              <w:widowControl/>
              <w:jc w:val="left"/>
              <w:textAlignment w:val="center"/>
              <w:rPr>
                <w:rFonts w:ascii="Times New Roman" w:hAnsi="Times New Roman"/>
                <w:sz w:val="24"/>
                <w:szCs w:val="24"/>
              </w:rPr>
            </w:pPr>
            <w:r>
              <w:rPr>
                <w:rFonts w:ascii="Times New Roman" w:hAnsi="Times New Roman"/>
                <w:kern w:val="0"/>
                <w:sz w:val="24"/>
                <w:szCs w:val="24"/>
                <w:lang w:bidi="ar"/>
              </w:rPr>
              <w:t>同时邀请多个专家参与的，按最高层次的计分。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406" w:hRule="atLeast"/>
          <w:jc w:val="center"/>
        </w:trPr>
        <w:tc>
          <w:tcPr>
            <w:tcW w:w="116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诊断效果</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w:t>
            </w:r>
            <w:r>
              <w:rPr>
                <w:rFonts w:hint="eastAsia" w:ascii="Times New Roman" w:hAnsi="Times New Roman"/>
                <w:kern w:val="0"/>
                <w:sz w:val="24"/>
                <w:szCs w:val="24"/>
                <w:lang w:val="en-US" w:eastAsia="zh-CN" w:bidi="ar"/>
              </w:rPr>
              <w:t>8</w:t>
            </w:r>
            <w:r>
              <w:rPr>
                <w:rFonts w:ascii="Times New Roman" w:hAnsi="Times New Roman"/>
                <w:kern w:val="0"/>
                <w:sz w:val="24"/>
                <w:szCs w:val="24"/>
                <w:lang w:bidi="ar"/>
              </w:rPr>
              <w:t>0分）</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解决成果</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p>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在企业工业设计提升中提出具体实施方案或解决建议的，按照解决效果程度评分，最高得</w:t>
            </w:r>
            <w:r>
              <w:rPr>
                <w:rFonts w:hint="eastAsia" w:ascii="Times New Roman" w:hAnsi="Times New Roman"/>
                <w:kern w:val="0"/>
                <w:sz w:val="24"/>
                <w:szCs w:val="24"/>
                <w:lang w:val="en-US" w:eastAsia="zh-CN" w:bidi="ar"/>
              </w:rPr>
              <w:t>30</w:t>
            </w:r>
            <w:r>
              <w:rPr>
                <w:rFonts w:ascii="Times New Roman" w:hAnsi="Times New Roman"/>
                <w:kern w:val="0"/>
                <w:sz w:val="24"/>
                <w:szCs w:val="24"/>
                <w:lang w:bidi="ar"/>
              </w:rPr>
              <w:t>分。</w:t>
            </w:r>
          </w:p>
          <w:p>
            <w:pPr>
              <w:widowControl/>
              <w:jc w:val="left"/>
              <w:textAlignment w:val="center"/>
              <w:rPr>
                <w:rFonts w:ascii="Times New Roman" w:hAnsi="Times New Roman"/>
                <w:sz w:val="24"/>
                <w:szCs w:val="24"/>
              </w:rPr>
            </w:pPr>
          </w:p>
          <w:p>
            <w:pPr>
              <w:widowControl/>
              <w:jc w:val="left"/>
              <w:textAlignment w:val="center"/>
              <w:rPr>
                <w:rFonts w:ascii="Times New Roman" w:hAnsi="Times New Roman"/>
                <w:sz w:val="24"/>
                <w:szCs w:val="24"/>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30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2796" w:hRule="atLeast"/>
          <w:jc w:val="center"/>
        </w:trPr>
        <w:tc>
          <w:tcPr>
            <w:tcW w:w="1168" w:type="dxa"/>
            <w:vMerge w:val="continue"/>
            <w:tcBorders>
              <w:left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报告撰写</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sz w:val="24"/>
                <w:szCs w:val="24"/>
              </w:rPr>
            </w:pPr>
            <w:r>
              <w:rPr>
                <w:rFonts w:ascii="Times New Roman" w:hAnsi="Times New Roman"/>
                <w:kern w:val="0"/>
                <w:sz w:val="24"/>
                <w:szCs w:val="24"/>
                <w:lang w:bidi="ar"/>
              </w:rPr>
              <w:t>1、内容充实，数据清晰，对企业有明确的指导意义和实操性，得</w:t>
            </w:r>
            <w:r>
              <w:rPr>
                <w:rFonts w:hint="eastAsia" w:ascii="Times New Roman" w:hAnsi="Times New Roman"/>
                <w:kern w:val="0"/>
                <w:sz w:val="24"/>
                <w:szCs w:val="24"/>
                <w:lang w:val="en-US" w:eastAsia="zh-CN" w:bidi="ar"/>
              </w:rPr>
              <w:t>20</w:t>
            </w:r>
            <w:r>
              <w:rPr>
                <w:rFonts w:ascii="Times New Roman" w:hAnsi="Times New Roman"/>
                <w:kern w:val="0"/>
                <w:sz w:val="24"/>
                <w:szCs w:val="24"/>
                <w:lang w:bidi="ar"/>
              </w:rPr>
              <w:t>分；</w:t>
            </w:r>
            <w:r>
              <w:rPr>
                <w:rFonts w:ascii="Times New Roman" w:hAnsi="Times New Roman"/>
                <w:kern w:val="0"/>
                <w:sz w:val="24"/>
                <w:szCs w:val="24"/>
                <w:lang w:bidi="ar"/>
              </w:rPr>
              <w:br w:type="textWrapping"/>
            </w:r>
            <w:r>
              <w:rPr>
                <w:rFonts w:ascii="Times New Roman" w:hAnsi="Times New Roman"/>
                <w:kern w:val="0"/>
                <w:sz w:val="24"/>
                <w:szCs w:val="24"/>
                <w:lang w:bidi="ar"/>
              </w:rPr>
              <w:t>2、内容较充实，数据合理，对企业有一定指导意义和实操性，得</w:t>
            </w:r>
            <w:r>
              <w:rPr>
                <w:rFonts w:hint="eastAsia" w:ascii="Times New Roman" w:hAnsi="Times New Roman"/>
                <w:kern w:val="0"/>
                <w:sz w:val="24"/>
                <w:szCs w:val="24"/>
                <w:lang w:val="en-US" w:eastAsia="zh-CN" w:bidi="ar"/>
              </w:rPr>
              <w:t>16</w:t>
            </w:r>
            <w:r>
              <w:rPr>
                <w:rFonts w:ascii="Times New Roman" w:hAnsi="Times New Roman"/>
                <w:kern w:val="0"/>
                <w:sz w:val="24"/>
                <w:szCs w:val="24"/>
                <w:lang w:bidi="ar"/>
              </w:rPr>
              <w:t>分；</w:t>
            </w:r>
            <w:r>
              <w:rPr>
                <w:rFonts w:ascii="Times New Roman" w:hAnsi="Times New Roman"/>
                <w:kern w:val="0"/>
                <w:sz w:val="24"/>
                <w:szCs w:val="24"/>
                <w:lang w:bidi="ar"/>
              </w:rPr>
              <w:br w:type="textWrapping"/>
            </w:r>
            <w:r>
              <w:rPr>
                <w:rFonts w:ascii="Times New Roman" w:hAnsi="Times New Roman"/>
                <w:kern w:val="0"/>
                <w:sz w:val="24"/>
                <w:szCs w:val="24"/>
                <w:lang w:bidi="ar"/>
              </w:rPr>
              <w:t>3、内容基本到位，有主要数据，对企业有指导意义，但实操性一般，得</w:t>
            </w:r>
            <w:r>
              <w:rPr>
                <w:rFonts w:hint="eastAsia" w:ascii="Times New Roman" w:hAnsi="Times New Roman"/>
                <w:kern w:val="0"/>
                <w:sz w:val="24"/>
                <w:szCs w:val="24"/>
                <w:lang w:val="en-US" w:eastAsia="zh-CN" w:bidi="ar"/>
              </w:rPr>
              <w:t>10</w:t>
            </w:r>
            <w:r>
              <w:rPr>
                <w:rFonts w:ascii="Times New Roman" w:hAnsi="Times New Roman"/>
                <w:kern w:val="0"/>
                <w:sz w:val="24"/>
                <w:szCs w:val="24"/>
                <w:lang w:bidi="ar"/>
              </w:rPr>
              <w:t>分；</w:t>
            </w:r>
            <w:r>
              <w:rPr>
                <w:rFonts w:ascii="Times New Roman" w:hAnsi="Times New Roman"/>
                <w:kern w:val="0"/>
                <w:sz w:val="24"/>
                <w:szCs w:val="24"/>
                <w:lang w:bidi="ar"/>
              </w:rPr>
              <w:br w:type="textWrapping"/>
            </w:r>
            <w:r>
              <w:rPr>
                <w:rFonts w:ascii="Times New Roman" w:hAnsi="Times New Roman"/>
                <w:kern w:val="0"/>
                <w:sz w:val="24"/>
                <w:szCs w:val="24"/>
                <w:lang w:bidi="ar"/>
              </w:rPr>
              <w:t>4、内容基本到位，有主要数据，对企业指导意义不强，得</w:t>
            </w:r>
            <w:r>
              <w:rPr>
                <w:rFonts w:hint="eastAsia" w:ascii="Times New Roman" w:hAnsi="Times New Roman"/>
                <w:kern w:val="0"/>
                <w:sz w:val="24"/>
                <w:szCs w:val="24"/>
                <w:lang w:val="en-US" w:eastAsia="zh-CN" w:bidi="ar"/>
              </w:rPr>
              <w:t>6</w:t>
            </w:r>
            <w:r>
              <w:rPr>
                <w:rFonts w:ascii="Times New Roman" w:hAnsi="Times New Roman"/>
                <w:kern w:val="0"/>
                <w:sz w:val="24"/>
                <w:szCs w:val="24"/>
                <w:lang w:bidi="ar"/>
              </w:rPr>
              <w:t>分。</w:t>
            </w:r>
            <w:r>
              <w:rPr>
                <w:rFonts w:ascii="Times New Roman" w:hAnsi="Times New Roman"/>
                <w:kern w:val="0"/>
                <w:sz w:val="24"/>
                <w:szCs w:val="24"/>
                <w:lang w:bidi="ar"/>
              </w:rPr>
              <w:br w:type="textWrapping"/>
            </w:r>
            <w:r>
              <w:rPr>
                <w:rFonts w:ascii="Times New Roman" w:hAnsi="Times New Roman"/>
                <w:kern w:val="0"/>
                <w:sz w:val="24"/>
                <w:szCs w:val="24"/>
                <w:lang w:bidi="ar"/>
              </w:rPr>
              <w:t>5、无诊断报告的，得0分。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20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653" w:hRule="atLeast"/>
          <w:jc w:val="center"/>
        </w:trPr>
        <w:tc>
          <w:tcPr>
            <w:tcW w:w="1168" w:type="dxa"/>
            <w:vMerge w:val="continue"/>
            <w:tcBorders>
              <w:left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实施质量</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sz w:val="24"/>
                <w:szCs w:val="24"/>
              </w:rPr>
            </w:pPr>
            <w:r>
              <w:rPr>
                <w:rFonts w:ascii="Times New Roman" w:hAnsi="Times New Roman"/>
                <w:kern w:val="0"/>
                <w:sz w:val="24"/>
                <w:szCs w:val="24"/>
                <w:lang w:bidi="ar"/>
              </w:rPr>
              <w:t>所制订方案或建议目标准确、流程清晰，步骤明确，可行性强，按质量效果评分，最高得</w:t>
            </w:r>
            <w:r>
              <w:rPr>
                <w:rFonts w:hint="eastAsia" w:ascii="Times New Roman" w:hAnsi="Times New Roman"/>
                <w:kern w:val="0"/>
                <w:sz w:val="24"/>
                <w:szCs w:val="24"/>
                <w:lang w:val="en-US" w:eastAsia="zh-CN" w:bidi="ar"/>
              </w:rPr>
              <w:t>2</w:t>
            </w:r>
            <w:r>
              <w:rPr>
                <w:rFonts w:ascii="Times New Roman" w:hAnsi="Times New Roman"/>
                <w:kern w:val="0"/>
                <w:sz w:val="24"/>
                <w:szCs w:val="24"/>
                <w:lang w:bidi="ar"/>
              </w:rPr>
              <w:t>0分。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hint="eastAsia" w:ascii="Times New Roman" w:hAnsi="Times New Roman"/>
                <w:sz w:val="24"/>
                <w:szCs w:val="24"/>
                <w:lang w:val="en-US" w:eastAsia="zh-CN"/>
              </w:rPr>
              <w:t>2</w:t>
            </w:r>
            <w:r>
              <w:rPr>
                <w:rFonts w:ascii="Times New Roman" w:hAnsi="Times New Roman"/>
                <w:sz w:val="24"/>
                <w:szCs w:val="24"/>
              </w:rPr>
              <w:t>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666" w:hRule="atLeast"/>
          <w:jc w:val="center"/>
        </w:trPr>
        <w:tc>
          <w:tcPr>
            <w:tcW w:w="1168"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c>
          <w:tcPr>
            <w:tcW w:w="111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按照诊断效果与企业所处发展阶段或所面临问题匹配度高低进行评分，最高得</w:t>
            </w:r>
            <w:r>
              <w:rPr>
                <w:rFonts w:hint="eastAsia" w:ascii="Times New Roman" w:hAnsi="Times New Roman"/>
                <w:kern w:val="0"/>
                <w:sz w:val="24"/>
                <w:szCs w:val="24"/>
                <w:lang w:val="en-US" w:eastAsia="zh-CN" w:bidi="ar"/>
              </w:rPr>
              <w:t>10</w:t>
            </w:r>
            <w:r>
              <w:rPr>
                <w:rFonts w:ascii="Times New Roman" w:hAnsi="Times New Roman"/>
                <w:kern w:val="0"/>
                <w:sz w:val="24"/>
                <w:szCs w:val="24"/>
                <w:lang w:bidi="ar"/>
              </w:rPr>
              <w:t>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kern w:val="0"/>
                <w:sz w:val="24"/>
                <w:szCs w:val="24"/>
                <w:lang w:val="en-US" w:eastAsia="zh-CN" w:bidi="ar"/>
              </w:rPr>
            </w:pPr>
            <w:r>
              <w:rPr>
                <w:rFonts w:hint="eastAsia" w:ascii="Times New Roman" w:hAnsi="Times New Roman"/>
                <w:kern w:val="0"/>
                <w:sz w:val="24"/>
                <w:szCs w:val="24"/>
                <w:lang w:val="en-US" w:eastAsia="zh-CN" w:bidi="ar"/>
              </w:rPr>
              <w:t>10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444" w:hRule="atLeast"/>
          <w:jc w:val="center"/>
        </w:trPr>
        <w:tc>
          <w:tcPr>
            <w:tcW w:w="11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服务评价</w:t>
            </w:r>
          </w:p>
          <w:p>
            <w:pPr>
              <w:widowControl/>
              <w:jc w:val="center"/>
              <w:textAlignment w:val="center"/>
              <w:rPr>
                <w:rFonts w:ascii="Times New Roman" w:hAnsi="Times New Roman"/>
                <w:sz w:val="24"/>
                <w:szCs w:val="24"/>
              </w:rPr>
            </w:pPr>
            <w:r>
              <w:rPr>
                <w:rFonts w:ascii="Times New Roman" w:hAnsi="Times New Roman"/>
                <w:kern w:val="0"/>
                <w:sz w:val="24"/>
                <w:szCs w:val="24"/>
                <w:lang w:bidi="ar"/>
              </w:rPr>
              <w:t>（</w:t>
            </w:r>
            <w:r>
              <w:rPr>
                <w:rFonts w:hint="eastAsia" w:ascii="Times New Roman" w:hAnsi="Times New Roman"/>
                <w:kern w:val="0"/>
                <w:sz w:val="24"/>
                <w:szCs w:val="24"/>
                <w:lang w:val="en-US" w:eastAsia="zh-CN" w:bidi="ar"/>
              </w:rPr>
              <w:t>5</w:t>
            </w:r>
            <w:r>
              <w:rPr>
                <w:rFonts w:ascii="Times New Roman" w:hAnsi="Times New Roman"/>
                <w:kern w:val="0"/>
                <w:sz w:val="24"/>
                <w:szCs w:val="24"/>
                <w:lang w:bidi="ar"/>
              </w:rPr>
              <w:t>0分）</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企业评价</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kern w:val="0"/>
                <w:sz w:val="24"/>
                <w:szCs w:val="24"/>
                <w:lang w:bidi="ar"/>
              </w:rPr>
            </w:pPr>
            <w:r>
              <w:rPr>
                <w:rFonts w:ascii="Times New Roman" w:hAnsi="Times New Roman"/>
                <w:kern w:val="0"/>
                <w:sz w:val="24"/>
                <w:szCs w:val="24"/>
                <w:lang w:bidi="ar"/>
              </w:rPr>
              <w:t>按《企业诊断服务评价表》得分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lang w:val="en-US" w:eastAsia="zh-CN" w:bidi="ar"/>
              </w:rPr>
              <w:t>2</w:t>
            </w:r>
            <w:r>
              <w:rPr>
                <w:rFonts w:ascii="Times New Roman" w:hAnsi="Times New Roman"/>
                <w:kern w:val="0"/>
                <w:sz w:val="24"/>
                <w:szCs w:val="24"/>
                <w:lang w:bidi="ar"/>
              </w:rPr>
              <w:t>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1061"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ascii="Times New Roman" w:hAnsi="Times New Roman"/>
                <w:kern w:val="0"/>
                <w:sz w:val="24"/>
                <w:szCs w:val="24"/>
                <w:lang w:bidi="ar"/>
              </w:rPr>
              <w:t>后续合作意向</w:t>
            </w:r>
          </w:p>
        </w:tc>
        <w:tc>
          <w:tcPr>
            <w:tcW w:w="60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Times New Roman" w:hAnsi="Times New Roman"/>
                <w:kern w:val="0"/>
                <w:sz w:val="24"/>
                <w:szCs w:val="24"/>
                <w:lang w:bidi="ar"/>
              </w:rPr>
            </w:pPr>
            <w:r>
              <w:rPr>
                <w:rFonts w:ascii="Times New Roman" w:hAnsi="Times New Roman"/>
                <w:kern w:val="0"/>
                <w:sz w:val="24"/>
                <w:szCs w:val="24"/>
                <w:lang w:bidi="ar"/>
              </w:rPr>
              <w:t>1、已签订下来合作的正式合同或协议，得</w:t>
            </w:r>
            <w:r>
              <w:rPr>
                <w:rFonts w:hint="eastAsia" w:ascii="Times New Roman" w:hAnsi="Times New Roman"/>
                <w:kern w:val="0"/>
                <w:sz w:val="24"/>
                <w:szCs w:val="24"/>
                <w:lang w:val="en-US" w:eastAsia="zh-CN" w:bidi="ar"/>
              </w:rPr>
              <w:t>3</w:t>
            </w:r>
            <w:r>
              <w:rPr>
                <w:rFonts w:ascii="Times New Roman" w:hAnsi="Times New Roman"/>
                <w:kern w:val="0"/>
                <w:sz w:val="24"/>
                <w:szCs w:val="24"/>
                <w:lang w:bidi="ar"/>
              </w:rPr>
              <w:t>0分；</w:t>
            </w:r>
            <w:r>
              <w:rPr>
                <w:rFonts w:ascii="Times New Roman" w:hAnsi="Times New Roman"/>
                <w:kern w:val="0"/>
                <w:sz w:val="24"/>
                <w:szCs w:val="24"/>
                <w:lang w:bidi="ar"/>
              </w:rPr>
              <w:br w:type="textWrapping"/>
            </w:r>
            <w:r>
              <w:rPr>
                <w:rFonts w:ascii="Times New Roman" w:hAnsi="Times New Roman"/>
                <w:kern w:val="0"/>
                <w:sz w:val="24"/>
                <w:szCs w:val="24"/>
                <w:lang w:bidi="ar"/>
              </w:rPr>
              <w:t>2、诊断内容转化为企业制度或公司工作计划的，得</w:t>
            </w:r>
            <w:r>
              <w:rPr>
                <w:rFonts w:hint="eastAsia" w:ascii="Times New Roman" w:hAnsi="Times New Roman"/>
                <w:kern w:val="0"/>
                <w:sz w:val="24"/>
                <w:szCs w:val="24"/>
                <w:lang w:val="en-US" w:eastAsia="zh-CN" w:bidi="ar"/>
              </w:rPr>
              <w:t>20</w:t>
            </w:r>
            <w:r>
              <w:rPr>
                <w:rFonts w:ascii="Times New Roman" w:hAnsi="Times New Roman"/>
                <w:kern w:val="0"/>
                <w:sz w:val="24"/>
                <w:szCs w:val="24"/>
                <w:lang w:bidi="ar"/>
              </w:rPr>
              <w:t>分；</w:t>
            </w:r>
            <w:r>
              <w:rPr>
                <w:rFonts w:ascii="Times New Roman" w:hAnsi="Times New Roman"/>
                <w:kern w:val="0"/>
                <w:sz w:val="24"/>
                <w:szCs w:val="24"/>
                <w:lang w:bidi="ar"/>
              </w:rPr>
              <w:br w:type="textWrapping"/>
            </w:r>
            <w:r>
              <w:rPr>
                <w:rFonts w:ascii="Times New Roman" w:hAnsi="Times New Roman"/>
                <w:kern w:val="0"/>
                <w:sz w:val="24"/>
                <w:szCs w:val="24"/>
                <w:lang w:bidi="ar"/>
              </w:rPr>
              <w:t>3、双方提出合作意向的，得</w:t>
            </w:r>
            <w:r>
              <w:rPr>
                <w:rFonts w:hint="eastAsia" w:ascii="Times New Roman" w:hAnsi="Times New Roman"/>
                <w:kern w:val="0"/>
                <w:sz w:val="24"/>
                <w:szCs w:val="24"/>
                <w:lang w:val="en-US" w:eastAsia="zh-CN" w:bidi="ar"/>
              </w:rPr>
              <w:t>10</w:t>
            </w:r>
            <w:r>
              <w:rPr>
                <w:rFonts w:ascii="Times New Roman" w:hAnsi="Times New Roman"/>
                <w:kern w:val="0"/>
                <w:sz w:val="24"/>
                <w:szCs w:val="24"/>
                <w:lang w:bidi="ar"/>
              </w:rPr>
              <w:t>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kern w:val="0"/>
                <w:sz w:val="24"/>
                <w:szCs w:val="24"/>
                <w:lang w:bidi="ar"/>
              </w:rPr>
            </w:pPr>
            <w:r>
              <w:rPr>
                <w:rFonts w:hint="eastAsia" w:ascii="Times New Roman" w:hAnsi="Times New Roman"/>
                <w:kern w:val="0"/>
                <w:sz w:val="24"/>
                <w:szCs w:val="24"/>
                <w:lang w:val="en-US" w:eastAsia="zh-CN" w:bidi="ar"/>
              </w:rPr>
              <w:t>3</w:t>
            </w:r>
            <w:r>
              <w:rPr>
                <w:rFonts w:ascii="Times New Roman" w:hAnsi="Times New Roman"/>
                <w:kern w:val="0"/>
                <w:sz w:val="24"/>
                <w:szCs w:val="24"/>
                <w:lang w:bidi="ar"/>
              </w:rPr>
              <w:t>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sz w:val="24"/>
                <w:szCs w:val="24"/>
              </w:rPr>
            </w:pPr>
          </w:p>
        </w:tc>
      </w:tr>
      <w:tr>
        <w:tblPrEx>
          <w:tblCellMar>
            <w:top w:w="15" w:type="dxa"/>
            <w:left w:w="15" w:type="dxa"/>
            <w:bottom w:w="15" w:type="dxa"/>
            <w:right w:w="15" w:type="dxa"/>
          </w:tblCellMar>
        </w:tblPrEx>
        <w:trPr>
          <w:trHeight w:val="480" w:hRule="atLeast"/>
          <w:jc w:val="center"/>
        </w:trPr>
        <w:tc>
          <w:tcPr>
            <w:tcW w:w="83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合计</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lang w:val="en-US" w:eastAsia="zh-CN" w:bidi="ar"/>
              </w:rPr>
              <w:t>20</w:t>
            </w:r>
            <w:r>
              <w:rPr>
                <w:rFonts w:ascii="Times New Roman" w:hAnsi="Times New Roman"/>
                <w:kern w:val="0"/>
                <w:sz w:val="24"/>
                <w:szCs w:val="24"/>
                <w:lang w:bidi="ar"/>
              </w:rPr>
              <w:t>0</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sz w:val="24"/>
                <w:szCs w:val="24"/>
              </w:rPr>
            </w:pPr>
          </w:p>
        </w:tc>
      </w:tr>
      <w:tr>
        <w:tblPrEx>
          <w:tblCellMar>
            <w:top w:w="15" w:type="dxa"/>
            <w:left w:w="15" w:type="dxa"/>
            <w:bottom w:w="15" w:type="dxa"/>
            <w:right w:w="15" w:type="dxa"/>
          </w:tblCellMar>
        </w:tblPrEx>
        <w:trPr>
          <w:trHeight w:val="4143" w:hRule="atLeast"/>
          <w:jc w:val="center"/>
        </w:trPr>
        <w:tc>
          <w:tcPr>
            <w:tcW w:w="10035"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ascii="Times New Roman" w:hAnsi="Times New Roman"/>
                <w:sz w:val="24"/>
                <w:szCs w:val="24"/>
              </w:rPr>
            </w:pPr>
            <w:r>
              <w:rPr>
                <w:rFonts w:ascii="Times New Roman" w:hAnsi="Times New Roman"/>
                <w:sz w:val="24"/>
                <w:szCs w:val="24"/>
              </w:rPr>
              <w:t>专家组综合评价意见：</w:t>
            </w:r>
          </w:p>
        </w:tc>
      </w:tr>
    </w:tbl>
    <w:p>
      <w:pPr>
        <w:pStyle w:val="6"/>
        <w:rPr>
          <w:rFonts w:hint="default" w:ascii="Times New Roman" w:hAnsi="Times New Roman" w:eastAsia="黑体"/>
          <w:sz w:val="31"/>
          <w:szCs w:val="31"/>
        </w:rPr>
      </w:pPr>
    </w:p>
    <w:p>
      <w:pPr>
        <w:pStyle w:val="6"/>
        <w:rPr>
          <w:rFonts w:hint="default" w:ascii="Times New Roman" w:hAnsi="Times New Roman" w:eastAsia="黑体"/>
          <w:sz w:val="31"/>
          <w:szCs w:val="31"/>
        </w:rPr>
      </w:pPr>
    </w:p>
    <w:p>
      <w:pPr>
        <w:rPr>
          <w:rFonts w:ascii="Times New Roman" w:hAnsi="Times New Roman" w:eastAsia="黑体"/>
          <w:sz w:val="32"/>
          <w:szCs w:val="32"/>
        </w:rPr>
      </w:pPr>
      <w:r>
        <w:rPr>
          <w:rFonts w:ascii="Times New Roman" w:hAnsi="Times New Roman" w:eastAsia="黑体"/>
          <w:sz w:val="32"/>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35B6"/>
    <w:multiLevelType w:val="multilevel"/>
    <w:tmpl w:val="7AEA35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97792"/>
    <w:rsid w:val="3F89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正文1"/>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2020-07-13T02:41:00Z</dcterms:created>
  <dc:creator>宝贝霓霓</dc:creator>
  <cp:lastModifiedBy>宝贝霓霓</cp:lastModifiedBy>
  <dcterms:modified xsi:type="dcterms:W3CDTF">2020-07-13T02:41:36Z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