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5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rPr>
          <w:rFonts w:hint="default" w:ascii="Times New Roman" w:hAnsi="Times New Roman" w:cs="Times New Roman"/>
          <w:b/>
          <w:sz w:val="52"/>
        </w:rPr>
      </w:pPr>
    </w:p>
    <w:p>
      <w:pPr>
        <w:rPr>
          <w:rFonts w:hint="default" w:ascii="Times New Roman" w:hAnsi="Times New Roman" w:cs="Times New Roman"/>
          <w:b/>
          <w:sz w:val="52"/>
        </w:rPr>
      </w:pPr>
    </w:p>
    <w:p>
      <w:pPr>
        <w:ind w:left="-178" w:leftChars="-85"/>
        <w:jc w:val="center"/>
        <w:rPr>
          <w:rFonts w:hint="default" w:ascii="Times New Roman" w:hAnsi="Times New Roman" w:eastAsia="黑体" w:cs="Times New Roman"/>
          <w:bCs/>
          <w:sz w:val="44"/>
        </w:rPr>
      </w:pPr>
      <w:r>
        <w:rPr>
          <w:rFonts w:hint="default" w:ascii="Times New Roman" w:hAnsi="Times New Roman" w:eastAsia="黑体" w:cs="Times New Roman"/>
          <w:bCs/>
          <w:sz w:val="44"/>
        </w:rPr>
        <w:t>温州市“两化”融合示范试点企业申报表</w:t>
      </w:r>
    </w:p>
    <w:p>
      <w:pPr>
        <w:rPr>
          <w:rFonts w:hint="default" w:ascii="Times New Roman" w:hAnsi="Times New Roman" w:eastAsia="仿宋_GB2312" w:cs="Times New Roman"/>
          <w:sz w:val="44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ind w:firstLine="720" w:firstLineChars="20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 xml:space="preserve">单位名称（加盖公章）：                     </w:t>
      </w:r>
    </w:p>
    <w:p>
      <w:pPr>
        <w:rPr>
          <w:rFonts w:hint="default" w:ascii="Times New Roman" w:hAnsi="Times New Roman" w:eastAsia="黑体" w:cs="Times New Roman"/>
          <w:sz w:val="36"/>
        </w:rPr>
      </w:pPr>
    </w:p>
    <w:p>
      <w:pPr>
        <w:ind w:firstLine="720" w:firstLineChars="20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填表时间：</w:t>
      </w:r>
    </w:p>
    <w:p>
      <w:pPr>
        <w:jc w:val="center"/>
        <w:rPr>
          <w:rFonts w:hint="default" w:ascii="Times New Roman" w:hAnsi="Times New Roman" w:eastAsia="黑体" w:cs="Times New Roman"/>
          <w:b/>
          <w:sz w:val="36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温州市经济和信息化局制</w:t>
      </w:r>
      <w:r>
        <w:rPr>
          <w:rFonts w:hint="default" w:ascii="Times New Roman" w:hAnsi="Times New Roman" w:eastAsia="仿宋_GB2312" w:cs="Times New Roman"/>
          <w:b/>
          <w:sz w:val="36"/>
        </w:rPr>
        <w:t xml:space="preserve"> </w:t>
      </w:r>
    </w:p>
    <w:p>
      <w:pPr>
        <w:pageBreakBefore/>
        <w:ind w:right="238"/>
        <w:jc w:val="right"/>
        <w:rPr>
          <w:rFonts w:hint="default" w:ascii="Times New Roman" w:hAnsi="Times New Roman" w:eastAsia="仿宋_GB2312" w:cs="Times New Roman"/>
          <w:b/>
          <w:sz w:val="36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单位:万元</w:t>
      </w:r>
    </w:p>
    <w:tbl>
      <w:tblPr>
        <w:tblStyle w:val="4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099"/>
        <w:gridCol w:w="260"/>
        <w:gridCol w:w="750"/>
        <w:gridCol w:w="383"/>
        <w:gridCol w:w="662"/>
        <w:gridCol w:w="75"/>
        <w:gridCol w:w="76"/>
        <w:gridCol w:w="111"/>
        <w:gridCol w:w="310"/>
        <w:gridCol w:w="716"/>
        <w:gridCol w:w="26"/>
        <w:gridCol w:w="255"/>
        <w:gridCol w:w="376"/>
        <w:gridCol w:w="589"/>
        <w:gridCol w:w="342"/>
        <w:gridCol w:w="228"/>
        <w:gridCol w:w="587"/>
        <w:gridCol w:w="6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企业名称</w:t>
            </w:r>
          </w:p>
        </w:tc>
        <w:tc>
          <w:tcPr>
            <w:tcW w:w="3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00"/>
                <w:tab w:val="left" w:pos="1680"/>
                <w:tab w:val="left" w:pos="2100"/>
                <w:tab w:val="left" w:pos="4140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00"/>
                <w:tab w:val="left" w:pos="1680"/>
                <w:tab w:val="left" w:pos="2100"/>
                <w:tab w:val="left" w:pos="4140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申请类别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○示范  ○试点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通讯地址</w:t>
            </w:r>
          </w:p>
        </w:tc>
        <w:tc>
          <w:tcPr>
            <w:tcW w:w="3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  编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法人代表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联系人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电子信箱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企业网址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企业性质</w:t>
            </w:r>
          </w:p>
        </w:tc>
        <w:tc>
          <w:tcPr>
            <w:tcW w:w="692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○国有  ○集体  ○有限责任公司  ○股份有限公司   其它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2018年度主营业务收入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实现利税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2018年度资产总额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负债总额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职工人数</w:t>
            </w:r>
          </w:p>
        </w:tc>
        <w:tc>
          <w:tcPr>
            <w:tcW w:w="2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主要产品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两化融合应用领域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（可以多选）</w:t>
            </w: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□数字工厂（机联网）  □创业创新（互联网跨界融合） □协同管控（总部型企业） □网络协同制造  □大规模个性化定制  □服务型制造  □智能化网络化产品  □研发云计算和大数据应用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已获两化融合领域荣誉</w:t>
            </w:r>
          </w:p>
        </w:tc>
        <w:tc>
          <w:tcPr>
            <w:tcW w:w="69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□市级两化融合示范企业    □市级两化融合试点企业   其它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4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企业信息化应用基本情况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基础建设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资金   投入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br w:type="textWrapping"/>
            </w: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近三年信息化投入</w:t>
            </w:r>
          </w:p>
        </w:tc>
        <w:tc>
          <w:tcPr>
            <w:tcW w:w="49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105" w:firstLineChars="5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其中：年度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硬件投入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软件投入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信息化软性投入（研发设计、运维）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已经应用的信息系统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（如ERP、PLM、MES、DCS、CPS、SCM、PDM、CRM、OA、BI、数字化设计工具等，请罗列并注明品牌、实施单位和应用时间）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信息   安全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□安装统一计算机防病毒软件  □建立网络安全体系（防火墙、文件加密等）</w:t>
            </w:r>
          </w:p>
          <w:p>
            <w:pPr>
              <w:pStyle w:val="2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□安全等级机房  □本地数据备份  □异地数据备份</w:t>
            </w:r>
          </w:p>
          <w:p>
            <w:pPr>
              <w:pStyle w:val="2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□完善的安全管理、防范体系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组织   规划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有无信息化专职部门</w:t>
            </w:r>
          </w:p>
        </w:tc>
        <w:tc>
          <w:tcPr>
            <w:tcW w:w="51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○有                   ○无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信息化主管领导级别</w:t>
            </w:r>
          </w:p>
        </w:tc>
        <w:tc>
          <w:tcPr>
            <w:tcW w:w="51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○一般管理者  ○中层领导  ○高层领导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信息化规划制定和执行情况</w:t>
            </w:r>
          </w:p>
        </w:tc>
        <w:tc>
          <w:tcPr>
            <w:tcW w:w="51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○无规划 ○分散在业务规划中 ○有专项规划  </w:t>
            </w: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○专项规划作为业务部门考核指标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设备   设施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企业主干网带宽</w:t>
            </w:r>
          </w:p>
        </w:tc>
        <w:tc>
          <w:tcPr>
            <w:tcW w:w="1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840" w:firstLineChars="400"/>
              <w:jc w:val="righ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M</w:t>
            </w:r>
          </w:p>
        </w:tc>
        <w:tc>
          <w:tcPr>
            <w:tcW w:w="2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生产设备总数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840" w:firstLineChars="40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数字生产设备数量</w:t>
            </w:r>
          </w:p>
        </w:tc>
        <w:tc>
          <w:tcPr>
            <w:tcW w:w="1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840" w:firstLineChars="400"/>
              <w:jc w:val="righ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台</w:t>
            </w:r>
          </w:p>
        </w:tc>
        <w:tc>
          <w:tcPr>
            <w:tcW w:w="2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联网数字生产设备数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840" w:firstLineChars="40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信息   资源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生产信息采集情况</w:t>
            </w:r>
          </w:p>
        </w:tc>
        <w:tc>
          <w:tcPr>
            <w:tcW w:w="51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○无信息采集  ○信息手工输入 ○系统自动采集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数据管理情况</w:t>
            </w:r>
          </w:p>
        </w:tc>
        <w:tc>
          <w:tcPr>
            <w:tcW w:w="51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○分散管理   ○分区集中管理  ○统一集中管理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单项应用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产品   设计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实施数字化建模或配方信息化建模的产品比例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计算机辅助设计开展情况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□自购软件  □外包服务  □公共服务平台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工艺   设计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计算机辅助工艺规划开展情况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□自购软件  □外包服务  □公共服务平台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是否构建工艺数据库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○是    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生产制造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底层设备及生产线自动化情况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数控系统关键工序覆盖率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%</w:t>
            </w: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自动化生产线占比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信息化生产监控范围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□车间监控  □生产线监控 □工艺和设备监控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自动作业计划编制情况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○无   ○低于50%   ○50%～80%   ○80%以上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生产管理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生产管理信息系统</w:t>
            </w: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功能覆盖情况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□生产计划管理  □质量管理 □工艺技术管理 </w:t>
            </w:r>
          </w:p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□车间生产管理  □瓶颈工艺自动排产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采购销售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进销存系统覆盖情况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□采购管理  □销售管理  □客户关系管理   </w:t>
            </w:r>
          </w:p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□仓库管理  □物流配送管理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电子商务开展情况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上年度电子商务采购率为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%              上年度电子商务销售率为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财务管理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财务信息管理覆盖范围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□会计账务与资金管理 □财务报表和财务分析</w:t>
            </w:r>
          </w:p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□成本管理  □预算管理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能源管理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能源管理系统覆盖情况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□能耗实绩统计   □能源设备实施监控            □能源数据动态监控和分析   □能源计划             □能源调度优化平衡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总部管控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统一管控的内容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□审计管控  □预算管控  □资金管控     </w:t>
            </w:r>
          </w:p>
          <w:p>
            <w:pPr>
              <w:pStyle w:val="6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□统一的绩效考核系统   □统一的知识文档管理</w:t>
            </w:r>
          </w:p>
          <w:p>
            <w:pPr>
              <w:pStyle w:val="6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□统一的办公自动化系统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其他系统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其他信息系统和应用覆盖情况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□企业网站    □办公自动化    □项目管理    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□人力资源管理  □设备管理  □移动应用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综合集成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产品设计与制造集成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产品数据管理覆盖范围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□产品设计环节   □工艺设计环节        </w:t>
            </w:r>
          </w:p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□生产制造环节   □现场安装调试环节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产品模型传递和关联</w:t>
            </w:r>
          </w:p>
          <w:p>
            <w:pPr>
              <w:pStyle w:val="7"/>
              <w:spacing w:line="24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维护实现程度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 xml:space="preserve">□产品设计与工艺设计间信息自动传递     </w:t>
            </w:r>
          </w:p>
          <w:p>
            <w:pPr>
              <w:pStyle w:val="7"/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 xml:space="preserve">□工艺设计与生产制造间信息自动传递    </w:t>
            </w:r>
          </w:p>
          <w:p>
            <w:pPr>
              <w:pStyle w:val="7"/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 xml:space="preserve">□产品设计与生产管理间信息关联维护     </w:t>
            </w:r>
          </w:p>
          <w:p>
            <w:pPr>
              <w:pStyle w:val="7"/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 xml:space="preserve">□工艺设计与生产管理间信息管理维护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管理控制集成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制造集成系统与经营</w:t>
            </w: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管理系统集成情况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□可自动上传信息  □可自动下达指令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过程控制系统与制造</w:t>
            </w:r>
          </w:p>
          <w:p>
            <w:pPr>
              <w:pStyle w:val="7"/>
              <w:spacing w:line="24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集成系统集成情况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□可自动上传信息  □可自动下达指令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产供销集成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按订单自动排产和动态调度能力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□按订单自动排产  □自动形成物料供应计划  </w:t>
            </w:r>
          </w:p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□产能约束下能优化排产 </w:t>
            </w:r>
          </w:p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□意外紧急情况能动态调度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订单全程跟踪管理水平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□跟踪到产品配送阶段  □跟踪到生产制造阶段</w:t>
            </w:r>
          </w:p>
          <w:p>
            <w:pPr>
              <w:pStyle w:val="7"/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□跟踪到物料采购阶段  □跟踪到研发设计阶段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财务业务集成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实现与财务系统集成的业务系统范围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□采购管理系统  □销售管理系统  □生产制造系统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□物流管理系统  □设备管理系统  □人力资源系统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□研发系统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决策支持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自动数据采集和分析的业务范围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□采购信息  □销售信息  □库存信息  □生产信息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□财务信息  □物流信息  □设备信息  □项目信息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□能源信息 □成本信息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sz w:val="21"/>
              </w:rPr>
              <w:t>可实现决策支持的内容情况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□合同、收入、成本、利润等对比分析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□客户价值和信用  □产品盈利和市场趋势  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□研发设计和经营管理的集成运营  □预测预警 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□风险管控  □信誉建设  □企业综合决策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协同与创新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产品协同创新与绿色发展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产品状态信息跟踪和反馈覆盖情况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□研发设计  □生产制造  □售后服务  □回收处理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网络化协同设计与制造情况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□跨区域协同 □国内企业间协同 □国际企业间协同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延长产品价值链情况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□实现产品在维护保养、远程监控、备件备品、二手交易等方面的延伸服务 □实现全生命周期集成服务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绿色发展情况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□实现绿色设计□实现集约生产□实现产品再制造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企业集团管控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统一信息管控平台建设情况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□财务管控 □人力资源管控 □公共技术管控□协同办公管控 □审计管控 □采购管控 □销售管控 □统一门户网站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集团财务管控情况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□财务制度管理 □预算管理 □资金管理□投融资管理 □资产管理 □财务风险管理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集团战略管控情况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□战略规划 □经营计划 □预算控制□品牌与信用管理 □风险管理 □绩效管理 □财务管理 □资本管理 □人力资源管理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集团运营管控情况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□战略管理 □品牌与信用管理 □风险管理□绩效管理 □财务管理 □资本管理 □人力资源管理 □采购管理 □生产管理 □研发管理 □供应链管理 □服务管理 □营销管理 □战略伙伴管理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集团决策体系建设能力和水平情况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产业链协同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产业链企业间信息交互和共享水平</w:t>
            </w:r>
          </w:p>
        </w:tc>
        <w:tc>
          <w:tcPr>
            <w:tcW w:w="505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产业链企业建资源共享、协同和整合水平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产业链企业间业务协同和一体化程度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产业链企业间协同创新</w:t>
            </w:r>
          </w:p>
        </w:tc>
        <w:tc>
          <w:tcPr>
            <w:tcW w:w="505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竞争力和经济、社会效益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质量和满意度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客户订单平均响应速度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小时（近三年平均值）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客户提出新产品、工艺改进等要求的响应速度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天（近三年平均值）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订单按期交付率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%（近三年平均值）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财务优化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近三年资金周转率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 </w:t>
            </w:r>
          </w:p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近三年产成品存货周转率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（周转率=销售成本/平均存货）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创新能力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近三年新产品产值率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（新产品产值率=新产品产值/总产值）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经济效益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年份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平均增长率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销售收入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利润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业务效率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近三年全员劳动生产效率</w:t>
            </w:r>
            <w:r>
              <w:rPr>
                <w:rFonts w:hint="default" w:ascii="Times New Roman" w:hAnsi="Times New Roman" w:eastAsia="仿宋_GB2312" w:cs="Times New Roman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（年平均产值/员工数）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真实性承诺</w:t>
            </w:r>
          </w:p>
        </w:tc>
        <w:tc>
          <w:tcPr>
            <w:tcW w:w="7186" w:type="dxa"/>
            <w:gridSpan w:val="18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我单位申报的所有材料均真实、完整，如有不实，愿承担相应责任。</w:t>
            </w:r>
          </w:p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申报单位公章：</w:t>
            </w:r>
          </w:p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所在地经信部门意见</w:t>
            </w:r>
          </w:p>
        </w:tc>
        <w:tc>
          <w:tcPr>
            <w:tcW w:w="718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填表说明：</w:t>
      </w:r>
    </w:p>
    <w:p>
      <w:pPr>
        <w:tabs>
          <w:tab w:val="left" w:pos="360"/>
        </w:tabs>
        <w:spacing w:line="3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1、表格填写选项符号是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○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的为单选题，填表者可选择其中一个选项将其标注为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●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；选项符号是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的为多选题，填表者可选择其中多个选项将其标注为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■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。</w:t>
      </w:r>
    </w:p>
    <w:p>
      <w:pPr>
        <w:tabs>
          <w:tab w:val="left" w:pos="360"/>
        </w:tabs>
        <w:spacing w:line="3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2、表格多选题如无对应选项可以不填写。</w:t>
      </w:r>
    </w:p>
    <w:p>
      <w:pPr>
        <w:pageBreakBefore/>
        <w:rPr>
          <w:rFonts w:hint="default" w:ascii="Times New Roman" w:hAnsi="Times New Roman" w:eastAsia="黑体" w:cs="Times New Roman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2359869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4 -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3598691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4 -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7098"/>
    <w:rsid w:val="3B5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批注框文本1"/>
    <w:basedOn w:val="1"/>
    <w:qFormat/>
    <w:uiPriority w:val="0"/>
    <w:rPr>
      <w:rFonts w:hint="eastAsia" w:ascii="Times New Roman" w:hAnsi="Times New Roman" w:eastAsia="宋体" w:cs="Times New Roman"/>
      <w:sz w:val="18"/>
      <w:szCs w:val="24"/>
    </w:rPr>
  </w:style>
  <w:style w:type="paragraph" w:customStyle="1" w:styleId="7">
    <w:name w:val="Char1"/>
    <w:basedOn w:val="1"/>
    <w:qFormat/>
    <w:uiPriority w:val="0"/>
    <w:rPr>
      <w:rFonts w:hint="eastAsia" w:ascii="仿宋_GB2312" w:hAnsi="Times New Roman" w:eastAsia="仿宋_GB2312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2020-09-07T03:06:00Z</dcterms:created>
  <dc:creator>宝贝霓霓</dc:creator>
  <cp:lastModifiedBy>宝贝霓霓</cp:lastModifiedBy>
  <dcterms:modified xsi:type="dcterms:W3CDTF">2020-09-07T03:06:42Z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