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9"/>
        <w:rPr>
          <w:rFonts w:hint="eastAsia" w:ascii="黑体" w:hAnsi="黑体" w:eastAsia="黑体" w:cs="黑体"/>
          <w:bCs/>
          <w:sz w:val="32"/>
          <w:szCs w:val="32"/>
        </w:rPr>
      </w:pPr>
      <w:r>
        <w:rPr>
          <w:rFonts w:hint="eastAsia" w:ascii="黑体" w:hAnsi="黑体" w:eastAsia="黑体" w:cs="黑体"/>
          <w:bCs/>
          <w:sz w:val="32"/>
          <w:szCs w:val="32"/>
        </w:rPr>
        <w:t>附件</w:t>
      </w:r>
    </w:p>
    <w:p>
      <w:pPr>
        <w:keepNext w:val="0"/>
        <w:keepLines w:val="0"/>
        <w:pageBreakBefore w:val="0"/>
        <w:widowControl w:val="0"/>
        <w:kinsoku/>
        <w:wordWrap/>
        <w:overflowPunct/>
        <w:topLinePunct w:val="0"/>
        <w:autoSpaceDE/>
        <w:autoSpaceDN/>
        <w:bidi w:val="0"/>
        <w:adjustRightInd/>
        <w:snapToGrid w:val="0"/>
        <w:spacing w:after="449" w:afterLines="100" w:line="560" w:lineRule="exact"/>
        <w:jc w:val="center"/>
        <w:textAlignment w:val="auto"/>
        <w:outlineLvl w:val="1"/>
        <w:rPr>
          <w:rFonts w:hint="eastAsia" w:ascii="方正小标宋简体" w:hAnsi="黑体" w:eastAsia="方正小标宋简体"/>
          <w:bCs/>
          <w:sz w:val="32"/>
          <w:szCs w:val="32"/>
        </w:rPr>
      </w:pPr>
      <w:r>
        <w:rPr>
          <w:rFonts w:hint="eastAsia" w:ascii="Times New Roman" w:hAnsi="Times New Roman" w:eastAsia="方正小标宋简体"/>
          <w:sz w:val="44"/>
          <w:szCs w:val="44"/>
        </w:rPr>
        <w:t>新能源汽车产业链培育资金申报指南</w:t>
      </w:r>
    </w:p>
    <w:p>
      <w:pPr>
        <w:widowControl/>
        <w:jc w:val="center"/>
        <w:rPr>
          <w:rFonts w:hint="eastAsia"/>
        </w:rPr>
      </w:pPr>
      <w:r>
        <w:rPr>
          <w:rFonts w:hint="eastAsia" w:ascii="方正小标宋简体" w:hAnsi="方正小标宋简体" w:eastAsia="方正小标宋简体" w:cs="方正小标宋简体"/>
          <w:b w:val="0"/>
          <w:bCs/>
          <w:sz w:val="32"/>
          <w:szCs w:val="32"/>
        </w:rPr>
        <w:t>1</w:t>
      </w:r>
      <w:bookmarkStart w:id="0" w:name="_Toc515271428"/>
      <w:bookmarkStart w:id="1" w:name="_Toc510080971"/>
      <w:bookmarkStart w:id="2" w:name="_Toc514229020"/>
      <w:bookmarkStart w:id="3" w:name="_Toc509487462"/>
      <w:bookmarkStart w:id="4" w:name="_Toc510024660"/>
      <w:bookmarkStart w:id="5" w:name="_Toc510182455"/>
      <w:bookmarkStart w:id="6" w:name="_Toc511633299"/>
      <w:r>
        <w:rPr>
          <w:rFonts w:hint="eastAsia" w:ascii="方正小标宋简体" w:hAnsi="方正小标宋简体" w:eastAsia="方正小标宋简体" w:cs="方正小标宋简体"/>
          <w:b w:val="0"/>
          <w:bCs/>
          <w:sz w:val="36"/>
          <w:szCs w:val="36"/>
          <w:lang w:val="en-US" w:eastAsia="zh-CN"/>
        </w:rPr>
        <w:t>温州市新能源汽车新产品研发</w:t>
      </w:r>
      <w:r>
        <w:rPr>
          <w:rFonts w:hint="eastAsia" w:ascii="方正小标宋简体" w:hAnsi="方正小标宋简体" w:eastAsia="方正小标宋简体" w:cs="方正小标宋简体"/>
          <w:b w:val="0"/>
          <w:bCs/>
          <w:sz w:val="36"/>
          <w:szCs w:val="36"/>
        </w:rPr>
        <w:t>奖励申报指南</w:t>
      </w:r>
      <w:bookmarkEnd w:id="0"/>
      <w:bookmarkEnd w:id="1"/>
      <w:bookmarkEnd w:id="2"/>
      <w:bookmarkEnd w:id="3"/>
      <w:bookmarkEnd w:id="4"/>
      <w:bookmarkEnd w:id="5"/>
      <w:bookmarkEnd w:id="6"/>
    </w:p>
    <w:tbl>
      <w:tblPr>
        <w:tblStyle w:val="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1"/>
        <w:gridCol w:w="7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申报对象</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进入工信部目录新发布车型，且一年内销量达到一定数量的新能源汽车企业。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奖励额度</w:t>
            </w:r>
          </w:p>
        </w:tc>
        <w:tc>
          <w:tcPr>
            <w:tcW w:w="7612" w:type="dxa"/>
            <w:noWrap w:val="0"/>
            <w:vAlign w:val="center"/>
          </w:tcPr>
          <w:p>
            <w:pPr>
              <w:spacing w:line="400" w:lineRule="exact"/>
              <w:rPr>
                <w:rFonts w:ascii="仿宋_GB2312" w:hAnsi="黑体" w:eastAsia="仿宋_GB2312"/>
                <w:sz w:val="24"/>
                <w:szCs w:val="24"/>
              </w:rPr>
            </w:pPr>
            <w:r>
              <w:rPr>
                <w:rFonts w:hint="eastAsia" w:ascii="仿宋_GB2312" w:hAnsi="黑体" w:eastAsia="仿宋_GB2312" w:cs="Times New Roman"/>
                <w:sz w:val="24"/>
              </w:rPr>
              <w:t>对企业新开发的新能源乘用车、客车、货车和氢燃料电池汽车产品，进入工业和信息化部《新能源汽车推广应用推荐车型目录》的新发布车型，且在进入目录后一年时间内销量分别达到1000辆、200辆、500辆、50辆的，按照每个车型100万元给予开发生产企业最高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项目类型</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数据核校类。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申报材料</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企业入选工信部《新能源汽车推广应用推荐车型目录》新发布车型的证明，一年内达到指定销量的证明。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受理时间</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每年</w:t>
            </w:r>
            <w:r>
              <w:rPr>
                <w:rFonts w:hint="eastAsia" w:ascii="Times New Roman" w:hAnsi="Times New Roman" w:eastAsia="仿宋_GB2312"/>
                <w:sz w:val="24"/>
                <w:szCs w:val="24"/>
                <w:lang w:val="en-US" w:eastAsia="zh-CN"/>
              </w:rPr>
              <w:t>2</w:t>
            </w:r>
            <w:r>
              <w:rPr>
                <w:rFonts w:hint="eastAsia" w:ascii="仿宋_GB2312" w:hAnsi="黑体" w:eastAsia="仿宋_GB2312"/>
                <w:sz w:val="24"/>
                <w:szCs w:val="24"/>
              </w:rPr>
              <w:t>季度。</w:t>
            </w:r>
            <w:r>
              <w:rPr>
                <w:rFonts w:hint="eastAsia" w:ascii="仿宋_GB2312" w:hAnsi="黑体" w:eastAsia="仿宋_GB2312"/>
                <w:sz w:val="24"/>
              </w:rPr>
              <w:t>发送申报提示信息后</w:t>
            </w:r>
            <w:r>
              <w:rPr>
                <w:rFonts w:hint="eastAsia" w:ascii="Times New Roman" w:hAnsi="Times New Roman" w:eastAsia="仿宋_GB2312"/>
                <w:sz w:val="24"/>
              </w:rPr>
              <w:t>1</w:t>
            </w:r>
            <w:r>
              <w:rPr>
                <w:rFonts w:hint="eastAsia" w:ascii="仿宋_GB2312" w:hAnsi="黑体" w:eastAsia="仿宋_GB2312"/>
                <w:sz w:val="24"/>
              </w:rPr>
              <w:t>个月内申报，逾期视为自动放弃。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restart"/>
            <w:noWrap w:val="0"/>
            <w:vAlign w:val="center"/>
          </w:tcPr>
          <w:p>
            <w:pPr>
              <w:spacing w:line="500" w:lineRule="exact"/>
              <w:jc w:val="center"/>
              <w:rPr>
                <w:rFonts w:ascii="仿宋_GB2312" w:hAnsi="黑体" w:eastAsia="仿宋_GB2312"/>
                <w:szCs w:val="21"/>
              </w:rPr>
            </w:pPr>
            <w:r>
              <w:rPr>
                <w:rFonts w:hint="eastAsia" w:ascii="仿宋_GB2312" w:hAnsi="黑体" w:eastAsia="仿宋_GB2312"/>
                <w:szCs w:val="21"/>
              </w:rPr>
              <w:t>企业</w:t>
            </w:r>
            <w:r>
              <w:rPr>
                <w:rFonts w:ascii="仿宋_GB2312" w:hAnsi="黑体" w:eastAsia="仿宋_GB2312"/>
                <w:szCs w:val="21"/>
              </w:rPr>
              <w:t>办事流程</w:t>
            </w:r>
          </w:p>
        </w:tc>
        <w:tc>
          <w:tcPr>
            <w:tcW w:w="661" w:type="dxa"/>
            <w:noWrap w:val="0"/>
            <w:vAlign w:val="top"/>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1</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lang w:eastAsia="zh-CN"/>
              </w:rPr>
              <w:t>企业</w:t>
            </w:r>
            <w:r>
              <w:rPr>
                <w:rFonts w:hint="eastAsia" w:ascii="仿宋_GB2312" w:hAnsi="黑体" w:eastAsia="仿宋_GB2312" w:cs="Times New Roman"/>
                <w:sz w:val="24"/>
              </w:rPr>
              <w:t>根据申报通知要求，</w:t>
            </w:r>
            <w:r>
              <w:rPr>
                <w:rFonts w:hint="eastAsia" w:ascii="仿宋_GB2312" w:hAnsi="黑体" w:eastAsia="仿宋_GB2312" w:cs="Times New Roman"/>
                <w:sz w:val="24"/>
                <w:lang w:val="en-US" w:eastAsia="zh-CN"/>
              </w:rPr>
              <w:t>登录</w:t>
            </w:r>
            <w:r>
              <w:rPr>
                <w:rFonts w:hint="eastAsia" w:ascii="仿宋_GB2312" w:hAnsi="黑体" w:eastAsia="仿宋_GB2312" w:cs="Times New Roman"/>
                <w:sz w:val="24"/>
              </w:rPr>
              <w:t>温州市产业政策奖励兑现系统，在线填写并提交《</w:t>
            </w:r>
            <w:r>
              <w:rPr>
                <w:rFonts w:hint="eastAsia" w:ascii="仿宋_GB2312" w:hAnsi="黑体" w:eastAsia="仿宋_GB2312" w:cs="Times New Roman"/>
                <w:sz w:val="24"/>
                <w:lang w:eastAsia="zh-CN"/>
              </w:rPr>
              <w:t>温州市</w:t>
            </w:r>
            <w:r>
              <w:rPr>
                <w:rFonts w:hint="eastAsia" w:ascii="仿宋_GB2312" w:hAnsi="黑体" w:eastAsia="仿宋_GB2312" w:cs="Times New Roman"/>
                <w:sz w:val="24"/>
              </w:rPr>
              <w:t>新能源汽车新产品研发奖励申请表》（详见附表），并上传相关附件。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50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2</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根据短信提醒，查看审核、公示进展。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50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3</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确认按提供的基本户账户收到</w:t>
            </w:r>
            <w:r>
              <w:rPr>
                <w:rFonts w:ascii="仿宋_GB2312" w:hAnsi="黑体" w:eastAsia="仿宋_GB2312" w:cs="Times New Roman"/>
                <w:sz w:val="24"/>
              </w:rPr>
              <w:t>奖补资金</w:t>
            </w:r>
            <w:r>
              <w:rPr>
                <w:rFonts w:hint="eastAsia" w:ascii="仿宋_GB2312" w:hAnsi="黑体" w:eastAsia="仿宋_GB2312" w:cs="Times New Roman"/>
                <w:sz w:val="24"/>
              </w:rPr>
              <w:t>（无需提供收款凭据）。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restart"/>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政府</w:t>
            </w:r>
            <w:r>
              <w:rPr>
                <w:rFonts w:ascii="仿宋_GB2312" w:hAnsi="黑体" w:eastAsia="仿宋_GB2312"/>
                <w:sz w:val="24"/>
                <w:szCs w:val="24"/>
              </w:rPr>
              <w:t>内部</w:t>
            </w:r>
            <w:r>
              <w:rPr>
                <w:rFonts w:hint="eastAsia" w:ascii="仿宋_GB2312" w:hAnsi="黑体" w:eastAsia="仿宋_GB2312"/>
                <w:sz w:val="24"/>
                <w:szCs w:val="24"/>
              </w:rPr>
              <w:t>流转流程</w:t>
            </w: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1</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color w:val="000000"/>
                <w:sz w:val="24"/>
              </w:rPr>
              <w:t>市经信</w:t>
            </w:r>
            <w:r>
              <w:rPr>
                <w:rFonts w:hint="eastAsia" w:ascii="仿宋_GB2312" w:hAnsi="黑体" w:eastAsia="仿宋_GB2312" w:cs="Times New Roman"/>
                <w:color w:val="000000"/>
                <w:sz w:val="24"/>
                <w:lang w:eastAsia="zh-CN"/>
              </w:rPr>
              <w:t>局</w:t>
            </w:r>
            <w:r>
              <w:rPr>
                <w:rFonts w:hint="eastAsia" w:ascii="仿宋_GB2312" w:hAnsi="黑体" w:eastAsia="仿宋_GB2312" w:cs="Times New Roman"/>
                <w:color w:val="000000"/>
                <w:sz w:val="24"/>
              </w:rPr>
              <w:t>发布申报通知，并启动项目申报工作。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2</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color w:val="000000"/>
                <w:sz w:val="24"/>
              </w:rPr>
              <w:t>系统</w:t>
            </w:r>
            <w:r>
              <w:rPr>
                <w:rFonts w:ascii="仿宋_GB2312" w:hAnsi="黑体" w:eastAsia="仿宋_GB2312" w:cs="Times New Roman"/>
                <w:color w:val="000000"/>
                <w:sz w:val="24"/>
              </w:rPr>
              <w:t>按照企业在线提交的《</w:t>
            </w:r>
            <w:r>
              <w:rPr>
                <w:rFonts w:hint="eastAsia" w:ascii="仿宋_GB2312" w:hAnsi="黑体" w:eastAsia="仿宋_GB2312" w:cs="Times New Roman"/>
                <w:color w:val="000000"/>
                <w:sz w:val="24"/>
              </w:rPr>
              <w:t>申请表</w:t>
            </w:r>
            <w:r>
              <w:rPr>
                <w:rFonts w:ascii="仿宋_GB2312" w:hAnsi="黑体" w:eastAsia="仿宋_GB2312" w:cs="Times New Roman"/>
                <w:color w:val="000000"/>
                <w:sz w:val="24"/>
              </w:rPr>
              <w:t>》</w:t>
            </w:r>
            <w:r>
              <w:rPr>
                <w:rFonts w:hint="eastAsia" w:ascii="仿宋_GB2312" w:hAnsi="黑体" w:eastAsia="仿宋_GB2312" w:cs="Times New Roman"/>
                <w:color w:val="000000"/>
                <w:sz w:val="24"/>
              </w:rPr>
              <w:t>按申报时财政收入归属区域</w:t>
            </w:r>
            <w:r>
              <w:rPr>
                <w:rFonts w:ascii="仿宋_GB2312" w:hAnsi="黑体" w:eastAsia="仿宋_GB2312" w:cs="Times New Roman"/>
                <w:color w:val="000000"/>
                <w:sz w:val="24"/>
              </w:rPr>
              <w:t>向</w:t>
            </w:r>
            <w:r>
              <w:rPr>
                <w:rFonts w:hint="eastAsia" w:ascii="仿宋_GB2312" w:hAnsi="黑体" w:eastAsia="仿宋_GB2312" w:cs="Times New Roman"/>
                <w:color w:val="000000"/>
                <w:sz w:val="24"/>
              </w:rPr>
              <w:t>属地经信</w:t>
            </w:r>
            <w:r>
              <w:rPr>
                <w:rFonts w:ascii="仿宋_GB2312" w:hAnsi="黑体" w:eastAsia="仿宋_GB2312" w:cs="Times New Roman"/>
                <w:color w:val="000000"/>
                <w:sz w:val="24"/>
              </w:rPr>
              <w:t>部门转派</w:t>
            </w:r>
            <w:r>
              <w:rPr>
                <w:rFonts w:hint="eastAsia" w:ascii="仿宋_GB2312" w:hAnsi="黑体" w:eastAsia="仿宋_GB2312" w:cs="Times New Roman"/>
                <w:color w:val="000000"/>
                <w:sz w:val="24"/>
              </w:rPr>
              <w:t>在线</w:t>
            </w:r>
            <w:r>
              <w:rPr>
                <w:rFonts w:ascii="仿宋_GB2312" w:hAnsi="黑体" w:eastAsia="仿宋_GB2312" w:cs="Times New Roman"/>
                <w:color w:val="000000"/>
                <w:sz w:val="24"/>
              </w:rPr>
              <w:t>审查任务</w:t>
            </w:r>
            <w:r>
              <w:rPr>
                <w:rFonts w:hint="eastAsia" w:ascii="仿宋_GB2312" w:hAnsi="黑体" w:eastAsia="仿宋_GB2312" w:cs="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3</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属地经信部门委托有资质的会计师事务所对申报的企业集中进行专项审计（主要审计企业新发布车型入选《新能源汽车推广应用推荐车型目录》一年内的销量情况），在25个工作日内完成审计并上传审计报告。</w:t>
            </w:r>
            <w:r>
              <w:rPr>
                <w:rFonts w:hint="eastAsia" w:ascii="仿宋_GB2312" w:hAnsi="黑体" w:eastAsia="仿宋_GB2312" w:cs="Times New Roman"/>
                <w:sz w:val="24"/>
                <w:lang w:eastAsia="zh-CN"/>
              </w:rPr>
              <w:t>市、区两级经信部门</w:t>
            </w:r>
            <w:r>
              <w:rPr>
                <w:rFonts w:hint="eastAsia" w:ascii="仿宋_GB2312" w:hAnsi="黑体" w:eastAsia="仿宋_GB2312" w:cs="Times New Roman"/>
                <w:sz w:val="24"/>
              </w:rPr>
              <w:t>在</w:t>
            </w:r>
            <w:r>
              <w:rPr>
                <w:rFonts w:hint="default" w:ascii="仿宋_GB2312" w:hAnsi="黑体" w:eastAsia="仿宋_GB2312" w:cs="Times New Roman"/>
                <w:sz w:val="24"/>
                <w:lang w:val="en"/>
              </w:rPr>
              <w:t>30</w:t>
            </w:r>
            <w:r>
              <w:rPr>
                <w:rFonts w:hint="eastAsia" w:ascii="仿宋_GB2312" w:hAnsi="黑体" w:eastAsia="仿宋_GB2312" w:cs="Times New Roman"/>
                <w:sz w:val="24"/>
              </w:rPr>
              <w:t>个工作日内完成在线审查。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4</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通过</w:t>
            </w:r>
            <w:r>
              <w:rPr>
                <w:rFonts w:ascii="仿宋_GB2312" w:hAnsi="黑体" w:eastAsia="仿宋_GB2312" w:cs="Times New Roman"/>
                <w:sz w:val="24"/>
              </w:rPr>
              <w:t>审定</w:t>
            </w:r>
            <w:r>
              <w:rPr>
                <w:rFonts w:hint="eastAsia" w:ascii="仿宋_GB2312" w:hAnsi="黑体" w:eastAsia="仿宋_GB2312" w:cs="Times New Roman"/>
                <w:sz w:val="24"/>
              </w:rPr>
              <w:t>的拟补贴项目在线公示3个工作日，</w:t>
            </w:r>
            <w:r>
              <w:rPr>
                <w:rFonts w:ascii="仿宋_GB2312" w:hAnsi="黑体" w:eastAsia="仿宋_GB2312" w:cs="Times New Roman"/>
                <w:sz w:val="24"/>
              </w:rPr>
              <w:t>并向企业发送公示提醒</w:t>
            </w:r>
            <w:r>
              <w:rPr>
                <w:rFonts w:hint="eastAsia" w:ascii="仿宋_GB2312" w:hAnsi="黑体"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5</w:t>
            </w:r>
          </w:p>
        </w:tc>
        <w:tc>
          <w:tcPr>
            <w:tcW w:w="7612" w:type="dxa"/>
            <w:noWrap w:val="0"/>
            <w:vAlign w:val="top"/>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经公示无异议后，属地经信部门依据电子审批单在5个工作日内向企业《申请表》中提供的基本户账户拨付奖补资金</w:t>
            </w:r>
            <w:r>
              <w:rPr>
                <w:rFonts w:hint="eastAsia" w:ascii="仿宋_GB2312" w:hAnsi="仿宋_GB2312" w:eastAsia="仿宋_GB2312" w:cs="仿宋_GB2312"/>
                <w:color w:val="000000"/>
                <w:sz w:val="24"/>
              </w:rPr>
              <w:t>，并在系统上及时确认资金到位</w:t>
            </w:r>
            <w:r>
              <w:rPr>
                <w:rFonts w:hint="eastAsia" w:ascii="仿宋_GB2312" w:hAnsi="黑体" w:eastAsia="仿宋_GB2312" w:cs="Times New Roman"/>
                <w:sz w:val="24"/>
              </w:rPr>
              <w:t>。</w:t>
            </w:r>
          </w:p>
        </w:tc>
      </w:tr>
    </w:tbl>
    <w:p>
      <w:pPr>
        <w:widowControl/>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2"/>
          <w:szCs w:val="32"/>
        </w:rPr>
        <w:t>2</w:t>
      </w:r>
      <w:r>
        <w:rPr>
          <w:rFonts w:hint="eastAsia" w:ascii="方正小标宋简体" w:hAnsi="方正小标宋简体" w:eastAsia="方正小标宋简体" w:cs="方正小标宋简体"/>
          <w:sz w:val="36"/>
          <w:szCs w:val="36"/>
          <w:lang w:eastAsia="zh-CN"/>
        </w:rPr>
        <w:t>温州市</w:t>
      </w:r>
      <w:r>
        <w:rPr>
          <w:rFonts w:hint="eastAsia" w:ascii="方正小标宋简体" w:hAnsi="方正小标宋简体" w:eastAsia="方正小标宋简体" w:cs="方正小标宋简体"/>
          <w:sz w:val="36"/>
          <w:szCs w:val="36"/>
        </w:rPr>
        <w:t>新能源汽车扩大销量奖励申报指南</w:t>
      </w:r>
    </w:p>
    <w:tbl>
      <w:tblPr>
        <w:tblStyle w:val="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1"/>
        <w:gridCol w:w="7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申报对象</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对扩大销量的新能源乘用车、货车生产企业，动力电池生产企业。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奖励额度</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对新能源乘用车、货车年销量首次达到5万辆、1万辆（之后每增加5万辆、1万辆）的生产企业，分别给予1000万、500万奖励。对动力电池年供货量首次达到3GWh（之后每增加3GWh）的生产企业，给予500万奖励。每家企业申领次数累计不超过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项目类型</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数据核校类。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申报材料</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企业年销售量证明。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受理时间</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每年</w:t>
            </w:r>
            <w:r>
              <w:rPr>
                <w:rFonts w:hint="eastAsia" w:ascii="Times New Roman" w:hAnsi="Times New Roman" w:eastAsia="仿宋_GB2312"/>
                <w:sz w:val="24"/>
                <w:szCs w:val="24"/>
                <w:lang w:val="en-US" w:eastAsia="zh-CN"/>
              </w:rPr>
              <w:t>2</w:t>
            </w:r>
            <w:r>
              <w:rPr>
                <w:rFonts w:hint="eastAsia" w:ascii="仿宋_GB2312" w:hAnsi="黑体" w:eastAsia="仿宋_GB2312"/>
                <w:sz w:val="24"/>
                <w:szCs w:val="24"/>
              </w:rPr>
              <w:t>季度。</w:t>
            </w:r>
            <w:r>
              <w:rPr>
                <w:rFonts w:hint="eastAsia" w:ascii="仿宋_GB2312" w:hAnsi="黑体" w:eastAsia="仿宋_GB2312"/>
                <w:sz w:val="24"/>
              </w:rPr>
              <w:t>发送申报提示信息后</w:t>
            </w:r>
            <w:r>
              <w:rPr>
                <w:rFonts w:hint="eastAsia" w:ascii="Times New Roman" w:hAnsi="Times New Roman" w:eastAsia="仿宋_GB2312"/>
                <w:sz w:val="24"/>
              </w:rPr>
              <w:t>1</w:t>
            </w:r>
            <w:r>
              <w:rPr>
                <w:rFonts w:hint="eastAsia" w:ascii="仿宋_GB2312" w:hAnsi="黑体" w:eastAsia="仿宋_GB2312"/>
                <w:sz w:val="24"/>
              </w:rPr>
              <w:t>个月内申报，逾期视为自动放弃。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restart"/>
            <w:noWrap w:val="0"/>
            <w:vAlign w:val="center"/>
          </w:tcPr>
          <w:p>
            <w:pPr>
              <w:spacing w:line="500" w:lineRule="exact"/>
              <w:jc w:val="center"/>
              <w:rPr>
                <w:rFonts w:ascii="仿宋_GB2312" w:hAnsi="黑体" w:eastAsia="仿宋_GB2312"/>
                <w:szCs w:val="21"/>
              </w:rPr>
            </w:pPr>
            <w:r>
              <w:rPr>
                <w:rFonts w:hint="eastAsia" w:ascii="仿宋_GB2312" w:hAnsi="黑体" w:eastAsia="仿宋_GB2312"/>
                <w:szCs w:val="21"/>
              </w:rPr>
              <w:t>企业</w:t>
            </w:r>
            <w:r>
              <w:rPr>
                <w:rFonts w:ascii="仿宋_GB2312" w:hAnsi="黑体" w:eastAsia="仿宋_GB2312"/>
                <w:szCs w:val="21"/>
              </w:rPr>
              <w:t>办事流程</w:t>
            </w:r>
          </w:p>
        </w:tc>
        <w:tc>
          <w:tcPr>
            <w:tcW w:w="661" w:type="dxa"/>
            <w:noWrap w:val="0"/>
            <w:vAlign w:val="top"/>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1</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根据申报通知要求，登陆温州市产业政策奖励兑现系统，在线填写并提交《</w:t>
            </w:r>
            <w:r>
              <w:rPr>
                <w:rFonts w:hint="eastAsia" w:ascii="仿宋_GB2312" w:hAnsi="黑体" w:eastAsia="仿宋_GB2312" w:cs="Times New Roman"/>
                <w:sz w:val="24"/>
                <w:lang w:eastAsia="zh-CN"/>
              </w:rPr>
              <w:t>温州市</w:t>
            </w:r>
            <w:r>
              <w:rPr>
                <w:rFonts w:hint="eastAsia" w:ascii="仿宋_GB2312" w:hAnsi="黑体" w:eastAsia="仿宋_GB2312" w:cs="Times New Roman"/>
                <w:sz w:val="24"/>
              </w:rPr>
              <w:t>新能源汽车扩大销量奖励申请表》（详见附表），并上传相关附件。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50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2</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根据短信提醒，查看审核、公示进展。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50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3</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确认按提供的基本户账户收到</w:t>
            </w:r>
            <w:r>
              <w:rPr>
                <w:rFonts w:ascii="仿宋_GB2312" w:hAnsi="黑体" w:eastAsia="仿宋_GB2312" w:cs="Times New Roman"/>
                <w:sz w:val="24"/>
              </w:rPr>
              <w:t>奖补资金</w:t>
            </w:r>
            <w:r>
              <w:rPr>
                <w:rFonts w:hint="eastAsia" w:ascii="仿宋_GB2312" w:hAnsi="黑体" w:eastAsia="仿宋_GB2312" w:cs="Times New Roman"/>
                <w:sz w:val="24"/>
              </w:rPr>
              <w:t>（无需提供收款凭据）。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restart"/>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政府</w:t>
            </w:r>
            <w:r>
              <w:rPr>
                <w:rFonts w:ascii="仿宋_GB2312" w:hAnsi="黑体" w:eastAsia="仿宋_GB2312"/>
                <w:sz w:val="24"/>
                <w:szCs w:val="24"/>
              </w:rPr>
              <w:t>内部</w:t>
            </w:r>
            <w:r>
              <w:rPr>
                <w:rFonts w:hint="eastAsia" w:ascii="仿宋_GB2312" w:hAnsi="黑体" w:eastAsia="仿宋_GB2312"/>
                <w:sz w:val="24"/>
                <w:szCs w:val="24"/>
              </w:rPr>
              <w:t>流转流程</w:t>
            </w: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1</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color w:val="000000"/>
                <w:sz w:val="24"/>
              </w:rPr>
              <w:t>市经信</w:t>
            </w:r>
            <w:r>
              <w:rPr>
                <w:rFonts w:hint="eastAsia" w:ascii="仿宋_GB2312" w:hAnsi="黑体" w:eastAsia="仿宋_GB2312" w:cs="Times New Roman"/>
                <w:color w:val="000000"/>
                <w:sz w:val="24"/>
                <w:lang w:eastAsia="zh-CN"/>
              </w:rPr>
              <w:t>局</w:t>
            </w:r>
            <w:r>
              <w:rPr>
                <w:rFonts w:hint="eastAsia" w:ascii="仿宋_GB2312" w:hAnsi="黑体" w:eastAsia="仿宋_GB2312" w:cs="Times New Roman"/>
                <w:color w:val="000000"/>
                <w:sz w:val="24"/>
              </w:rPr>
              <w:t>发布申报通知，并启动项目申报工作。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2</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color w:val="000000"/>
                <w:sz w:val="24"/>
              </w:rPr>
              <w:t>系统</w:t>
            </w:r>
            <w:r>
              <w:rPr>
                <w:rFonts w:ascii="仿宋_GB2312" w:hAnsi="黑体" w:eastAsia="仿宋_GB2312" w:cs="Times New Roman"/>
                <w:color w:val="000000"/>
                <w:sz w:val="24"/>
              </w:rPr>
              <w:t>按照企业在线提交的《</w:t>
            </w:r>
            <w:r>
              <w:rPr>
                <w:rFonts w:hint="eastAsia" w:ascii="仿宋_GB2312" w:hAnsi="黑体" w:eastAsia="仿宋_GB2312" w:cs="Times New Roman"/>
                <w:color w:val="000000"/>
                <w:sz w:val="24"/>
              </w:rPr>
              <w:t>申请表</w:t>
            </w:r>
            <w:r>
              <w:rPr>
                <w:rFonts w:ascii="仿宋_GB2312" w:hAnsi="黑体" w:eastAsia="仿宋_GB2312" w:cs="Times New Roman"/>
                <w:color w:val="000000"/>
                <w:sz w:val="24"/>
              </w:rPr>
              <w:t>》</w:t>
            </w:r>
            <w:r>
              <w:rPr>
                <w:rFonts w:hint="eastAsia" w:ascii="仿宋_GB2312" w:hAnsi="黑体" w:eastAsia="仿宋_GB2312" w:cs="Times New Roman"/>
                <w:color w:val="000000"/>
                <w:sz w:val="24"/>
              </w:rPr>
              <w:t>按申报时财政收入归属区域</w:t>
            </w:r>
            <w:r>
              <w:rPr>
                <w:rFonts w:ascii="仿宋_GB2312" w:hAnsi="黑体" w:eastAsia="仿宋_GB2312" w:cs="Times New Roman"/>
                <w:color w:val="000000"/>
                <w:sz w:val="24"/>
              </w:rPr>
              <w:t>向</w:t>
            </w:r>
            <w:r>
              <w:rPr>
                <w:rFonts w:hint="eastAsia" w:ascii="仿宋_GB2312" w:hAnsi="黑体" w:eastAsia="仿宋_GB2312" w:cs="Times New Roman"/>
                <w:color w:val="000000"/>
                <w:sz w:val="24"/>
              </w:rPr>
              <w:t>属地经信</w:t>
            </w:r>
            <w:r>
              <w:rPr>
                <w:rFonts w:ascii="仿宋_GB2312" w:hAnsi="黑体" w:eastAsia="仿宋_GB2312" w:cs="Times New Roman"/>
                <w:color w:val="000000"/>
                <w:sz w:val="24"/>
              </w:rPr>
              <w:t>部门转派</w:t>
            </w:r>
            <w:r>
              <w:rPr>
                <w:rFonts w:hint="eastAsia" w:ascii="仿宋_GB2312" w:hAnsi="黑体" w:eastAsia="仿宋_GB2312" w:cs="Times New Roman"/>
                <w:color w:val="000000"/>
                <w:sz w:val="24"/>
              </w:rPr>
              <w:t>在线</w:t>
            </w:r>
            <w:r>
              <w:rPr>
                <w:rFonts w:ascii="仿宋_GB2312" w:hAnsi="黑体" w:eastAsia="仿宋_GB2312" w:cs="Times New Roman"/>
                <w:color w:val="000000"/>
                <w:sz w:val="24"/>
              </w:rPr>
              <w:t>审查任务</w:t>
            </w:r>
            <w:r>
              <w:rPr>
                <w:rFonts w:hint="eastAsia" w:ascii="仿宋_GB2312" w:hAnsi="黑体" w:eastAsia="仿宋_GB2312" w:cs="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3</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属地经信部门委托有资质的会计师事务所对申报的企业集中进行专项审计（主要审计汽车生产企业的年销量情况或动力电池生产企业的年供货量情况），在25个工作日内完成审计并上传审计报告。</w:t>
            </w:r>
            <w:r>
              <w:rPr>
                <w:rFonts w:hint="eastAsia" w:ascii="仿宋_GB2312" w:hAnsi="黑体" w:eastAsia="仿宋_GB2312" w:cs="Times New Roman"/>
                <w:sz w:val="24"/>
                <w:lang w:eastAsia="zh-CN"/>
              </w:rPr>
              <w:t>市、区两级经信部门</w:t>
            </w:r>
            <w:r>
              <w:rPr>
                <w:rFonts w:hint="eastAsia" w:ascii="仿宋_GB2312" w:hAnsi="黑体" w:eastAsia="仿宋_GB2312" w:cs="Times New Roman"/>
                <w:sz w:val="24"/>
              </w:rPr>
              <w:t>在</w:t>
            </w:r>
            <w:r>
              <w:rPr>
                <w:rFonts w:hint="eastAsia" w:ascii="仿宋_GB2312" w:hAnsi="黑体" w:eastAsia="仿宋_GB2312" w:cs="Times New Roman"/>
                <w:sz w:val="24"/>
                <w:lang w:val="en-US" w:eastAsia="zh-CN"/>
              </w:rPr>
              <w:t>30</w:t>
            </w:r>
            <w:r>
              <w:rPr>
                <w:rFonts w:hint="eastAsia" w:ascii="仿宋_GB2312" w:hAnsi="黑体" w:eastAsia="仿宋_GB2312" w:cs="Times New Roman"/>
                <w:sz w:val="24"/>
              </w:rPr>
              <w:t>个工作日内完成在线审查。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4</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通过</w:t>
            </w:r>
            <w:r>
              <w:rPr>
                <w:rFonts w:ascii="仿宋_GB2312" w:hAnsi="黑体" w:eastAsia="仿宋_GB2312" w:cs="Times New Roman"/>
                <w:sz w:val="24"/>
              </w:rPr>
              <w:t>审定</w:t>
            </w:r>
            <w:r>
              <w:rPr>
                <w:rFonts w:hint="eastAsia" w:ascii="仿宋_GB2312" w:hAnsi="黑体" w:eastAsia="仿宋_GB2312" w:cs="Times New Roman"/>
                <w:sz w:val="24"/>
              </w:rPr>
              <w:t>的拟补贴项目在线公示3个工作日，</w:t>
            </w:r>
            <w:r>
              <w:rPr>
                <w:rFonts w:ascii="仿宋_GB2312" w:hAnsi="黑体" w:eastAsia="仿宋_GB2312" w:cs="Times New Roman"/>
                <w:sz w:val="24"/>
              </w:rPr>
              <w:t>并向企业发送公示提醒</w:t>
            </w:r>
            <w:r>
              <w:rPr>
                <w:rFonts w:hint="eastAsia" w:ascii="仿宋_GB2312" w:hAnsi="黑体"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5</w:t>
            </w:r>
          </w:p>
        </w:tc>
        <w:tc>
          <w:tcPr>
            <w:tcW w:w="7612" w:type="dxa"/>
            <w:noWrap w:val="0"/>
            <w:vAlign w:val="top"/>
          </w:tcPr>
          <w:p>
            <w:pPr>
              <w:spacing w:line="400" w:lineRule="exact"/>
              <w:jc w:val="left"/>
              <w:rPr>
                <w:rFonts w:ascii="仿宋_GB2312" w:hAnsi="黑体" w:eastAsia="仿宋_GB2312"/>
                <w:sz w:val="24"/>
                <w:szCs w:val="24"/>
              </w:rPr>
            </w:pPr>
            <w:r>
              <w:rPr>
                <w:rFonts w:hint="eastAsia" w:ascii="仿宋_GB2312" w:hAnsi="黑体" w:eastAsia="仿宋_GB2312" w:cs="Times New Roman"/>
                <w:sz w:val="24"/>
              </w:rPr>
              <w:t>经公示无异议后，属地经信部门依据电子审批单在5个工作日内向企业《申请表》中提供的基本户账户拨付奖补资金</w:t>
            </w:r>
            <w:r>
              <w:rPr>
                <w:rFonts w:hint="eastAsia" w:ascii="仿宋_GB2312" w:hAnsi="仿宋_GB2312" w:eastAsia="仿宋_GB2312" w:cs="仿宋_GB2312"/>
                <w:color w:val="000000"/>
                <w:sz w:val="24"/>
              </w:rPr>
              <w:t>，并在系统上及时确认资金到位</w:t>
            </w:r>
            <w:r>
              <w:rPr>
                <w:rFonts w:hint="eastAsia" w:ascii="仿宋_GB2312" w:hAnsi="黑体" w:eastAsia="仿宋_GB2312" w:cs="Times New Roman"/>
                <w:sz w:val="24"/>
              </w:rPr>
              <w:t>。</w:t>
            </w:r>
          </w:p>
        </w:tc>
      </w:tr>
    </w:tbl>
    <w:p>
      <w:pPr>
        <w:widowControl/>
        <w:jc w:val="left"/>
        <w:rPr>
          <w:rFonts w:ascii="Cambria" w:hAnsi="Cambria"/>
          <w:b/>
          <w:bCs/>
          <w:sz w:val="32"/>
          <w:szCs w:val="32"/>
        </w:rPr>
      </w:pPr>
    </w:p>
    <w:p>
      <w:pPr>
        <w:rPr>
          <w:rFonts w:hint="eastAsia" w:ascii="Cambria" w:hAnsi="Cambria"/>
          <w:b/>
          <w:bCs/>
          <w:sz w:val="32"/>
          <w:szCs w:val="32"/>
        </w:rPr>
      </w:pPr>
      <w:r>
        <w:rPr>
          <w:rFonts w:hint="eastAsia" w:ascii="Cambria" w:hAnsi="Cambria"/>
          <w:b/>
          <w:bCs/>
          <w:sz w:val="32"/>
          <w:szCs w:val="32"/>
        </w:rPr>
        <w:br w:type="page"/>
      </w:r>
    </w:p>
    <w:p>
      <w:pPr>
        <w:keepNext w:val="0"/>
        <w:keepLines w:val="0"/>
        <w:pageBreakBefore w:val="0"/>
        <w:widowControl/>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pacing w:val="-20"/>
          <w:sz w:val="36"/>
          <w:szCs w:val="36"/>
        </w:rPr>
      </w:pPr>
      <w:r>
        <w:rPr>
          <w:rFonts w:hint="eastAsia" w:ascii="方正小标宋简体" w:hAnsi="方正小标宋简体" w:eastAsia="方正小标宋简体" w:cs="方正小标宋简体"/>
          <w:b/>
          <w:bCs/>
          <w:spacing w:val="-20"/>
          <w:sz w:val="32"/>
          <w:szCs w:val="32"/>
        </w:rPr>
        <w:t>3</w:t>
      </w:r>
      <w:r>
        <w:rPr>
          <w:rFonts w:hint="eastAsia" w:ascii="方正小标宋简体" w:hAnsi="方正小标宋简体" w:eastAsia="方正小标宋简体" w:cs="方正小标宋简体"/>
          <w:spacing w:val="-20"/>
          <w:sz w:val="36"/>
          <w:szCs w:val="36"/>
          <w:lang w:val="en-US" w:eastAsia="zh-CN"/>
        </w:rPr>
        <w:t>温州市新能源汽车产业链上下游企业共同体</w:t>
      </w:r>
      <w:r>
        <w:rPr>
          <w:rFonts w:hint="eastAsia" w:ascii="方正小标宋简体" w:hAnsi="方正小标宋简体" w:eastAsia="方正小标宋简体" w:cs="方正小标宋简体"/>
          <w:spacing w:val="-20"/>
          <w:sz w:val="36"/>
          <w:szCs w:val="36"/>
        </w:rPr>
        <w:t>奖励申报指南</w:t>
      </w:r>
    </w:p>
    <w:tbl>
      <w:tblPr>
        <w:tblStyle w:val="4"/>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1"/>
        <w:gridCol w:w="7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gridSpan w:val="2"/>
            <w:noWrap w:val="0"/>
            <w:vAlign w:val="top"/>
          </w:tcPr>
          <w:p>
            <w:pPr>
              <w:spacing w:line="360" w:lineRule="exact"/>
              <w:jc w:val="center"/>
              <w:rPr>
                <w:rFonts w:ascii="仿宋_GB2312" w:hAnsi="Times New Roman" w:eastAsia="仿宋_GB2312"/>
                <w:sz w:val="24"/>
                <w:szCs w:val="24"/>
              </w:rPr>
            </w:pPr>
            <w:r>
              <w:rPr>
                <w:rFonts w:hint="eastAsia" w:ascii="仿宋_GB2312" w:hAnsi="黑体" w:eastAsia="仿宋_GB2312"/>
                <w:sz w:val="24"/>
                <w:szCs w:val="24"/>
              </w:rPr>
              <w:t>申报对象</w:t>
            </w:r>
          </w:p>
        </w:tc>
        <w:tc>
          <w:tcPr>
            <w:tcW w:w="7821" w:type="dxa"/>
            <w:noWrap w:val="0"/>
            <w:vAlign w:val="top"/>
          </w:tcPr>
          <w:p>
            <w:pPr>
              <w:widowControl/>
              <w:spacing w:line="360" w:lineRule="exact"/>
              <w:jc w:val="left"/>
              <w:rPr>
                <w:rFonts w:ascii="仿宋_GB2312" w:hAnsi="Times New Roman" w:eastAsia="仿宋_GB2312"/>
                <w:sz w:val="24"/>
                <w:szCs w:val="24"/>
              </w:rPr>
            </w:pPr>
            <w:r>
              <w:rPr>
                <w:rFonts w:hint="eastAsia" w:ascii="仿宋_GB2312" w:hAnsi="黑体" w:eastAsia="仿宋_GB2312"/>
                <w:sz w:val="24"/>
                <w:szCs w:val="24"/>
                <w:lang w:val="en-US" w:eastAsia="zh-CN"/>
              </w:rPr>
              <w:t>新获得省级新能源汽车产业链上下游企业共同体认定的牵头单位。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gridSpan w:val="2"/>
            <w:noWrap w:val="0"/>
            <w:vAlign w:val="top"/>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奖励额度</w:t>
            </w:r>
          </w:p>
        </w:tc>
        <w:tc>
          <w:tcPr>
            <w:tcW w:w="7821" w:type="dxa"/>
            <w:noWrap w:val="0"/>
            <w:vAlign w:val="top"/>
          </w:tcPr>
          <w:p>
            <w:pPr>
              <w:widowControl/>
              <w:spacing w:line="360" w:lineRule="exact"/>
              <w:jc w:val="left"/>
              <w:rPr>
                <w:rFonts w:hint="eastAsia" w:eastAsia="仿宋_GB2312"/>
                <w:lang w:eastAsia="zh-CN"/>
              </w:rPr>
            </w:pPr>
            <w:r>
              <w:rPr>
                <w:rFonts w:hint="eastAsia" w:ascii="仿宋_GB2312" w:hAnsi="黑体" w:eastAsia="仿宋_GB2312"/>
                <w:sz w:val="24"/>
                <w:szCs w:val="24"/>
              </w:rPr>
              <w:t>30万元</w:t>
            </w:r>
            <w:r>
              <w:rPr>
                <w:rFonts w:hint="eastAsia" w:ascii="仿宋_GB2312" w:hAnsi="黑体"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gridSpan w:val="2"/>
            <w:noWrap w:val="0"/>
            <w:vAlign w:val="top"/>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项目类型</w:t>
            </w:r>
          </w:p>
        </w:tc>
        <w:tc>
          <w:tcPr>
            <w:tcW w:w="7821" w:type="dxa"/>
            <w:noWrap w:val="0"/>
            <w:vAlign w:val="top"/>
          </w:tcPr>
          <w:p>
            <w:pPr>
              <w:widowControl/>
              <w:spacing w:line="360" w:lineRule="exact"/>
              <w:jc w:val="left"/>
              <w:rPr>
                <w:rFonts w:ascii="仿宋_GB2312" w:hAnsi="黑体" w:eastAsia="仿宋_GB2312"/>
                <w:sz w:val="24"/>
                <w:szCs w:val="24"/>
              </w:rPr>
            </w:pPr>
            <w:r>
              <w:rPr>
                <w:rFonts w:hint="eastAsia" w:ascii="仿宋_GB2312" w:hAnsi="黑体" w:eastAsia="仿宋_GB2312"/>
                <w:sz w:val="24"/>
                <w:szCs w:val="24"/>
              </w:rPr>
              <w:t>资格定补类。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gridSpan w:val="2"/>
            <w:noWrap w:val="0"/>
            <w:vAlign w:val="top"/>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申报材料</w:t>
            </w:r>
          </w:p>
        </w:tc>
        <w:tc>
          <w:tcPr>
            <w:tcW w:w="7821"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szCs w:val="24"/>
              </w:rPr>
              <w:t>企业无需提供申报材料。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gridSpan w:val="2"/>
            <w:noWrap w:val="0"/>
            <w:vAlign w:val="top"/>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受理时间</w:t>
            </w:r>
          </w:p>
        </w:tc>
        <w:tc>
          <w:tcPr>
            <w:tcW w:w="7821"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szCs w:val="24"/>
              </w:rPr>
              <w:t>随时受理。发送申报</w:t>
            </w:r>
            <w:r>
              <w:rPr>
                <w:rFonts w:ascii="仿宋_GB2312" w:hAnsi="黑体" w:eastAsia="仿宋_GB2312"/>
                <w:sz w:val="24"/>
                <w:szCs w:val="24"/>
              </w:rPr>
              <w:t>提示信息后</w:t>
            </w:r>
            <w:r>
              <w:rPr>
                <w:rFonts w:hint="eastAsia" w:ascii="仿宋_GB2312" w:hAnsi="黑体" w:eastAsia="仿宋_GB2312"/>
                <w:sz w:val="24"/>
                <w:szCs w:val="24"/>
                <w:lang w:eastAsia="zh-CN"/>
              </w:rPr>
              <w:t>规定时限</w:t>
            </w:r>
            <w:r>
              <w:rPr>
                <w:rFonts w:ascii="仿宋_GB2312" w:hAnsi="黑体" w:eastAsia="仿宋_GB2312"/>
                <w:sz w:val="24"/>
                <w:szCs w:val="24"/>
              </w:rPr>
              <w:t>内</w:t>
            </w:r>
            <w:r>
              <w:rPr>
                <w:rFonts w:hint="eastAsia" w:ascii="仿宋_GB2312" w:hAnsi="黑体" w:eastAsia="仿宋_GB2312"/>
                <w:sz w:val="24"/>
                <w:szCs w:val="24"/>
              </w:rPr>
              <w:t>申报，逾期视为自动放弃。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0"/>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企业</w:t>
            </w:r>
            <w:r>
              <w:rPr>
                <w:rFonts w:ascii="仿宋_GB2312" w:hAnsi="黑体" w:eastAsia="仿宋_GB2312"/>
                <w:szCs w:val="21"/>
              </w:rPr>
              <w:t>办事流程</w:t>
            </w:r>
          </w:p>
        </w:tc>
        <w:tc>
          <w:tcPr>
            <w:tcW w:w="661" w:type="dxa"/>
            <w:noWrap w:val="0"/>
            <w:vAlign w:val="top"/>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1</w:t>
            </w:r>
          </w:p>
        </w:tc>
        <w:tc>
          <w:tcPr>
            <w:tcW w:w="7821"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szCs w:val="24"/>
              </w:rPr>
              <w:t>企业根据申报通知要求，登陆温州市产业政策奖励兑现系统，在线填写并提交《温州市产业链上下游企业共同体奖励申请表》（详见附表）。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top"/>
          </w:tcPr>
          <w:p>
            <w:pPr>
              <w:spacing w:line="36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2</w:t>
            </w:r>
          </w:p>
        </w:tc>
        <w:tc>
          <w:tcPr>
            <w:tcW w:w="7821" w:type="dxa"/>
            <w:noWrap w:val="0"/>
            <w:vAlign w:val="center"/>
          </w:tcPr>
          <w:p>
            <w:pPr>
              <w:spacing w:line="360" w:lineRule="exact"/>
              <w:rPr>
                <w:rFonts w:ascii="仿宋_GB2312" w:hAnsi="黑体" w:eastAsia="仿宋_GB2312"/>
                <w:sz w:val="24"/>
                <w:szCs w:val="24"/>
              </w:rPr>
            </w:pPr>
            <w:r>
              <w:rPr>
                <w:rFonts w:hint="eastAsia" w:ascii="仿宋_GB2312" w:hAnsi="黑体" w:eastAsia="仿宋_GB2312"/>
                <w:sz w:val="24"/>
                <w:szCs w:val="24"/>
              </w:rPr>
              <w:t>根据短信提醒，查看审核、公示进展。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top"/>
          </w:tcPr>
          <w:p>
            <w:pPr>
              <w:spacing w:line="36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3</w:t>
            </w:r>
          </w:p>
        </w:tc>
        <w:tc>
          <w:tcPr>
            <w:tcW w:w="7821" w:type="dxa"/>
            <w:noWrap w:val="0"/>
            <w:vAlign w:val="center"/>
          </w:tcPr>
          <w:p>
            <w:pPr>
              <w:spacing w:line="360" w:lineRule="exact"/>
              <w:rPr>
                <w:rFonts w:ascii="仿宋_GB2312" w:hAnsi="黑体" w:eastAsia="仿宋_GB2312"/>
                <w:sz w:val="24"/>
                <w:szCs w:val="24"/>
              </w:rPr>
            </w:pPr>
            <w:r>
              <w:rPr>
                <w:rFonts w:hint="eastAsia" w:ascii="仿宋_GB2312" w:hAnsi="黑体" w:eastAsia="仿宋_GB2312"/>
                <w:sz w:val="24"/>
                <w:szCs w:val="24"/>
              </w:rPr>
              <w:t>企业确认按提供的基本户账户收到奖补资金（无需提供收款凭据）。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0"/>
            <w:vAlign w:val="center"/>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政府</w:t>
            </w:r>
            <w:r>
              <w:rPr>
                <w:rFonts w:ascii="仿宋_GB2312" w:hAnsi="黑体" w:eastAsia="仿宋_GB2312"/>
                <w:sz w:val="24"/>
                <w:szCs w:val="24"/>
              </w:rPr>
              <w:t>内部</w:t>
            </w:r>
            <w:r>
              <w:rPr>
                <w:rFonts w:hint="eastAsia" w:ascii="仿宋_GB2312" w:hAnsi="黑体" w:eastAsia="仿宋_GB2312"/>
                <w:sz w:val="24"/>
                <w:szCs w:val="24"/>
              </w:rPr>
              <w:t>流转流程</w:t>
            </w: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1</w:t>
            </w:r>
          </w:p>
        </w:tc>
        <w:tc>
          <w:tcPr>
            <w:tcW w:w="7821"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szCs w:val="24"/>
                <w:lang w:val="en-US" w:eastAsia="zh-CN"/>
              </w:rPr>
              <w:t>市经信局依据相关认定文件，统一向符合奖补条件的企业推送奖励申报提示（每年随时），并启动项目申报工作。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top"/>
          </w:tcPr>
          <w:p>
            <w:pPr>
              <w:spacing w:line="36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2</w:t>
            </w:r>
          </w:p>
        </w:tc>
        <w:tc>
          <w:tcPr>
            <w:tcW w:w="7821"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szCs w:val="24"/>
              </w:rPr>
              <w:t>系统按照企业在线提交的《申请表》按申报时财政收入归属区域向相应的经信部门转派在线查重任务。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top"/>
          </w:tcPr>
          <w:p>
            <w:pPr>
              <w:spacing w:line="36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3</w:t>
            </w:r>
          </w:p>
        </w:tc>
        <w:tc>
          <w:tcPr>
            <w:tcW w:w="7821" w:type="dxa"/>
            <w:noWrap w:val="0"/>
            <w:vAlign w:val="top"/>
          </w:tcPr>
          <w:p>
            <w:pPr>
              <w:spacing w:line="360" w:lineRule="exact"/>
              <w:rPr>
                <w:rFonts w:ascii="仿宋_GB2312" w:hAnsi="黑体" w:eastAsia="仿宋_GB2312"/>
                <w:sz w:val="24"/>
                <w:szCs w:val="24"/>
              </w:rPr>
            </w:pPr>
            <w:r>
              <w:rPr>
                <w:rFonts w:hint="eastAsia" w:ascii="仿宋_GB2312" w:hAnsi="黑体" w:eastAsia="仿宋_GB2312"/>
                <w:sz w:val="24"/>
                <w:szCs w:val="24"/>
              </w:rPr>
              <w:t>属地经信部门根据认定文件，</w:t>
            </w:r>
            <w:r>
              <w:rPr>
                <w:rFonts w:hint="default" w:ascii="仿宋_GB2312" w:hAnsi="黑体" w:eastAsia="仿宋_GB2312"/>
                <w:sz w:val="24"/>
                <w:szCs w:val="24"/>
                <w:lang w:val="en"/>
              </w:rPr>
              <w:t>8</w:t>
            </w:r>
            <w:r>
              <w:rPr>
                <w:rFonts w:hint="eastAsia" w:ascii="仿宋_GB2312" w:hAnsi="黑体" w:eastAsia="仿宋_GB2312"/>
                <w:sz w:val="24"/>
                <w:szCs w:val="24"/>
              </w:rPr>
              <w:t>个工作日内完成在线查重。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top"/>
          </w:tcPr>
          <w:p>
            <w:pPr>
              <w:spacing w:line="36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4</w:t>
            </w:r>
          </w:p>
        </w:tc>
        <w:tc>
          <w:tcPr>
            <w:tcW w:w="7821" w:type="dxa"/>
            <w:noWrap w:val="0"/>
            <w:vAlign w:val="top"/>
          </w:tcPr>
          <w:p>
            <w:pPr>
              <w:spacing w:line="360" w:lineRule="exact"/>
              <w:rPr>
                <w:rFonts w:ascii="仿宋_GB2312" w:hAnsi="黑体" w:eastAsia="仿宋_GB2312"/>
                <w:sz w:val="24"/>
                <w:szCs w:val="24"/>
              </w:rPr>
            </w:pPr>
            <w:r>
              <w:rPr>
                <w:rFonts w:hint="eastAsia" w:ascii="仿宋_GB2312" w:hAnsi="黑体" w:eastAsia="仿宋_GB2312"/>
                <w:sz w:val="24"/>
                <w:szCs w:val="24"/>
              </w:rPr>
              <w:t>经查重无异议的拟补贴项目，经申报主体信用承诺后不公示直接审核通过，</w:t>
            </w:r>
            <w:r>
              <w:rPr>
                <w:rFonts w:ascii="仿宋_GB2312" w:hAnsi="黑体" w:eastAsia="仿宋_GB2312"/>
                <w:sz w:val="24"/>
                <w:szCs w:val="24"/>
              </w:rPr>
              <w:t>并向企业发送</w:t>
            </w:r>
            <w:r>
              <w:rPr>
                <w:rFonts w:hint="eastAsia" w:ascii="仿宋_GB2312" w:hAnsi="黑体" w:eastAsia="仿宋_GB2312"/>
                <w:sz w:val="24"/>
                <w:szCs w:val="24"/>
              </w:rPr>
              <w:t>审核</w:t>
            </w:r>
            <w:r>
              <w:rPr>
                <w:rFonts w:hint="eastAsia" w:ascii="仿宋_GB2312" w:hAnsi="黑体" w:eastAsia="仿宋_GB2312"/>
                <w:sz w:val="24"/>
                <w:szCs w:val="24"/>
                <w:lang w:eastAsia="zh-CN"/>
              </w:rPr>
              <w:t>通过</w:t>
            </w:r>
            <w:r>
              <w:rPr>
                <w:rFonts w:ascii="仿宋_GB2312" w:hAnsi="黑体" w:eastAsia="仿宋_GB2312"/>
                <w:sz w:val="24"/>
                <w:szCs w:val="24"/>
              </w:rPr>
              <w:t>提醒</w:t>
            </w:r>
            <w:r>
              <w:rPr>
                <w:rFonts w:hint="eastAsia" w:ascii="仿宋_GB2312" w:hAnsi="黑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top"/>
          </w:tcPr>
          <w:p>
            <w:pPr>
              <w:spacing w:line="36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5</w:t>
            </w:r>
          </w:p>
        </w:tc>
        <w:tc>
          <w:tcPr>
            <w:tcW w:w="7821" w:type="dxa"/>
            <w:noWrap w:val="0"/>
            <w:vAlign w:val="top"/>
          </w:tcPr>
          <w:p>
            <w:pPr>
              <w:spacing w:line="400" w:lineRule="exact"/>
              <w:jc w:val="left"/>
              <w:rPr>
                <w:rFonts w:ascii="仿宋_GB2312" w:hAnsi="黑体" w:eastAsia="仿宋_GB2312"/>
                <w:sz w:val="24"/>
                <w:szCs w:val="24"/>
              </w:rPr>
            </w:pPr>
            <w:r>
              <w:rPr>
                <w:rFonts w:hint="eastAsia" w:ascii="仿宋_GB2312" w:hAnsi="黑体" w:eastAsia="仿宋_GB2312"/>
                <w:sz w:val="24"/>
                <w:szCs w:val="24"/>
                <w:lang w:eastAsia="zh-CN"/>
              </w:rPr>
              <w:t>审核通过</w:t>
            </w:r>
            <w:r>
              <w:rPr>
                <w:rFonts w:hint="eastAsia" w:ascii="仿宋_GB2312" w:hAnsi="黑体" w:eastAsia="仿宋_GB2312"/>
                <w:sz w:val="24"/>
                <w:szCs w:val="24"/>
              </w:rPr>
              <w:t>后，属地经信部门依据电子审批单在5个工作日内向企业《申请表》中提供的基本户账户拨付奖补资金，并在系统上及时确认资金到位。</w:t>
            </w:r>
          </w:p>
        </w:tc>
      </w:tr>
    </w:tbl>
    <w:p>
      <w:pPr>
        <w:rPr>
          <w:rFonts w:ascii="方正小标宋简体" w:eastAsia="方正小标宋简体"/>
          <w:sz w:val="32"/>
          <w:szCs w:val="30"/>
        </w:rPr>
      </w:pPr>
      <w:r>
        <w:rPr>
          <w:rFonts w:hint="eastAsia" w:ascii="仿宋_GB2312" w:hAnsi="黑体" w:eastAsia="仿宋_GB2312"/>
          <w:sz w:val="28"/>
          <w:szCs w:val="32"/>
        </w:rPr>
        <w:br w:type="page"/>
      </w:r>
    </w:p>
    <w:p>
      <w:pPr>
        <w:widowControl/>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2"/>
          <w:szCs w:val="30"/>
        </w:rPr>
        <w:t>4</w:t>
      </w:r>
      <w:r>
        <w:rPr>
          <w:rFonts w:hint="eastAsia" w:ascii="方正小标宋简体" w:hAnsi="方正小标宋简体" w:eastAsia="方正小标宋简体" w:cs="方正小标宋简体"/>
          <w:sz w:val="36"/>
          <w:szCs w:val="36"/>
          <w:lang w:eastAsia="zh-CN"/>
        </w:rPr>
        <w:t>温州市新能源汽车</w:t>
      </w:r>
      <w:r>
        <w:rPr>
          <w:rFonts w:hint="eastAsia" w:ascii="方正小标宋简体" w:hAnsi="方正小标宋简体" w:eastAsia="方正小标宋简体" w:cs="方正小标宋简体"/>
          <w:sz w:val="36"/>
          <w:szCs w:val="36"/>
        </w:rPr>
        <w:t>整车配套能力</w:t>
      </w:r>
      <w:r>
        <w:rPr>
          <w:rFonts w:hint="eastAsia" w:ascii="方正小标宋简体" w:hAnsi="方正小标宋简体" w:eastAsia="方正小标宋简体" w:cs="方正小标宋简体"/>
          <w:sz w:val="36"/>
          <w:szCs w:val="36"/>
          <w:lang w:eastAsia="zh-CN"/>
        </w:rPr>
        <w:t>提升</w:t>
      </w:r>
      <w:r>
        <w:rPr>
          <w:rFonts w:hint="eastAsia" w:ascii="方正小标宋简体" w:hAnsi="方正小标宋简体" w:eastAsia="方正小标宋简体" w:cs="方正小标宋简体"/>
          <w:sz w:val="36"/>
          <w:szCs w:val="36"/>
        </w:rPr>
        <w:t>奖励申报指南</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1"/>
        <w:gridCol w:w="7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申报对象</w:t>
            </w:r>
          </w:p>
        </w:tc>
        <w:tc>
          <w:tcPr>
            <w:tcW w:w="7612"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rPr>
              <w:t>新成为新能源汽车整车企业一级配套供应商的零部件企业。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奖励额度</w:t>
            </w:r>
          </w:p>
        </w:tc>
        <w:tc>
          <w:tcPr>
            <w:tcW w:w="7612" w:type="dxa"/>
            <w:noWrap w:val="0"/>
            <w:vAlign w:val="top"/>
          </w:tcPr>
          <w:p>
            <w:pPr>
              <w:pStyle w:val="6"/>
              <w:widowControl/>
              <w:spacing w:line="360" w:lineRule="exact"/>
              <w:ind w:firstLine="0" w:firstLineChars="0"/>
              <w:jc w:val="left"/>
              <w:rPr>
                <w:rFonts w:ascii="仿宋_GB2312" w:hAnsi="黑体" w:eastAsia="仿宋_GB2312"/>
                <w:sz w:val="24"/>
                <w:szCs w:val="24"/>
              </w:rPr>
            </w:pPr>
            <w:r>
              <w:rPr>
                <w:rFonts w:hint="eastAsia" w:ascii="Times New Roman" w:hAnsi="Times New Roman" w:eastAsia="仿宋_GB2312"/>
                <w:b/>
                <w:bCs/>
              </w:rPr>
              <w:t>当年新成为新能源汽车整车企业一级配套供应商的零部件企业，每新配套一家新能源整车企业，给予50万元奖励，每家企业奖励不超过150万元。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项目类型</w:t>
            </w:r>
          </w:p>
        </w:tc>
        <w:tc>
          <w:tcPr>
            <w:tcW w:w="7612" w:type="dxa"/>
            <w:noWrap w:val="0"/>
            <w:vAlign w:val="top"/>
          </w:tcPr>
          <w:p>
            <w:pPr>
              <w:pStyle w:val="6"/>
              <w:widowControl/>
              <w:spacing w:line="360" w:lineRule="exact"/>
              <w:ind w:firstLine="0" w:firstLineChars="0"/>
              <w:jc w:val="left"/>
              <w:rPr>
                <w:rFonts w:ascii="仿宋_GB2312" w:hAnsi="黑体" w:eastAsia="仿宋_GB2312"/>
                <w:sz w:val="24"/>
                <w:szCs w:val="24"/>
              </w:rPr>
            </w:pPr>
            <w:r>
              <w:rPr>
                <w:rFonts w:hint="eastAsia" w:ascii="仿宋_GB2312" w:hAnsi="黑体" w:eastAsia="仿宋_GB2312"/>
                <w:sz w:val="24"/>
                <w:szCs w:val="24"/>
              </w:rPr>
              <w:t>数据核校类。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申报材料</w:t>
            </w:r>
          </w:p>
        </w:tc>
        <w:tc>
          <w:tcPr>
            <w:tcW w:w="7612"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rPr>
              <w:t>新能源汽车整车企业出具的一级配套供应商证明、销售发票</w:t>
            </w:r>
            <w:r>
              <w:rPr>
                <w:rFonts w:hint="eastAsia" w:ascii="仿宋_GB2312" w:hAnsi="黑体" w:eastAsia="仿宋_GB2312"/>
                <w:sz w:val="24"/>
                <w:lang w:eastAsia="zh-CN"/>
              </w:rPr>
              <w:t>、企业承诺书</w:t>
            </w:r>
            <w:r>
              <w:rPr>
                <w:rFonts w:hint="eastAsia" w:ascii="仿宋_GB2312" w:hAnsi="黑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336" w:type="dxa"/>
            <w:gridSpan w:val="2"/>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受理时间</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每年</w:t>
            </w:r>
            <w:r>
              <w:rPr>
                <w:rFonts w:hint="eastAsia" w:ascii="Times New Roman" w:hAnsi="Times New Roman" w:eastAsia="仿宋_GB2312"/>
                <w:sz w:val="24"/>
                <w:szCs w:val="24"/>
                <w:lang w:val="en-US" w:eastAsia="zh-CN"/>
              </w:rPr>
              <w:t>2</w:t>
            </w:r>
            <w:r>
              <w:rPr>
                <w:rFonts w:hint="eastAsia" w:ascii="仿宋_GB2312" w:hAnsi="黑体" w:eastAsia="仿宋_GB2312"/>
                <w:sz w:val="24"/>
                <w:szCs w:val="24"/>
              </w:rPr>
              <w:t>季度。</w:t>
            </w:r>
            <w:r>
              <w:rPr>
                <w:rFonts w:hint="eastAsia" w:ascii="仿宋_GB2312" w:hAnsi="黑体" w:eastAsia="仿宋_GB2312"/>
                <w:sz w:val="24"/>
              </w:rPr>
              <w:t>发送申报提示信息后</w:t>
            </w:r>
            <w:r>
              <w:rPr>
                <w:rFonts w:hint="eastAsia" w:ascii="Times New Roman" w:hAnsi="Times New Roman" w:eastAsia="仿宋_GB2312"/>
                <w:sz w:val="24"/>
              </w:rPr>
              <w:t>1</w:t>
            </w:r>
            <w:r>
              <w:rPr>
                <w:rFonts w:hint="eastAsia" w:ascii="仿宋_GB2312" w:hAnsi="黑体" w:eastAsia="仿宋_GB2312"/>
                <w:sz w:val="24"/>
              </w:rPr>
              <w:t>个月内申报，逾期视为自动放弃。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restart"/>
            <w:noWrap w:val="0"/>
            <w:vAlign w:val="center"/>
          </w:tcPr>
          <w:p>
            <w:pPr>
              <w:spacing w:line="500" w:lineRule="exact"/>
              <w:jc w:val="center"/>
              <w:rPr>
                <w:rFonts w:ascii="仿宋_GB2312" w:hAnsi="黑体" w:eastAsia="仿宋_GB2312"/>
                <w:szCs w:val="21"/>
              </w:rPr>
            </w:pPr>
            <w:r>
              <w:rPr>
                <w:rFonts w:hint="eastAsia" w:ascii="仿宋_GB2312" w:hAnsi="黑体" w:eastAsia="仿宋_GB2312"/>
                <w:szCs w:val="21"/>
              </w:rPr>
              <w:t>企业</w:t>
            </w:r>
            <w:r>
              <w:rPr>
                <w:rFonts w:ascii="仿宋_GB2312" w:hAnsi="黑体" w:eastAsia="仿宋_GB2312"/>
                <w:szCs w:val="21"/>
              </w:rPr>
              <w:t>办事流程</w:t>
            </w:r>
          </w:p>
        </w:tc>
        <w:tc>
          <w:tcPr>
            <w:tcW w:w="661" w:type="dxa"/>
            <w:noWrap w:val="0"/>
            <w:vAlign w:val="top"/>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1</w:t>
            </w:r>
          </w:p>
        </w:tc>
        <w:tc>
          <w:tcPr>
            <w:tcW w:w="7612" w:type="dxa"/>
            <w:noWrap w:val="0"/>
            <w:vAlign w:val="center"/>
          </w:tcPr>
          <w:p>
            <w:pPr>
              <w:spacing w:line="360" w:lineRule="exact"/>
              <w:jc w:val="left"/>
              <w:rPr>
                <w:rFonts w:ascii="仿宋_GB2312" w:hAnsi="黑体" w:eastAsia="仿宋_GB2312"/>
                <w:sz w:val="24"/>
                <w:szCs w:val="24"/>
              </w:rPr>
            </w:pPr>
            <w:r>
              <w:rPr>
                <w:rFonts w:hint="eastAsia" w:ascii="仿宋_GB2312" w:hAnsi="黑体" w:eastAsia="仿宋_GB2312"/>
                <w:sz w:val="24"/>
              </w:rPr>
              <w:t>根据申报通知要求，登陆温州市产业政策奖励兑现系统，在线填写并提交《</w:t>
            </w:r>
            <w:r>
              <w:rPr>
                <w:rFonts w:hint="eastAsia" w:ascii="仿宋_GB2312" w:hAnsi="黑体" w:eastAsia="仿宋_GB2312"/>
                <w:sz w:val="24"/>
                <w:lang w:eastAsia="zh-CN"/>
              </w:rPr>
              <w:t>温州市新能源汽车</w:t>
            </w:r>
            <w:r>
              <w:rPr>
                <w:rFonts w:hint="eastAsia" w:ascii="仿宋_GB2312" w:hAnsi="黑体" w:eastAsia="仿宋_GB2312"/>
                <w:sz w:val="24"/>
              </w:rPr>
              <w:t>整车配套能力</w:t>
            </w:r>
            <w:r>
              <w:rPr>
                <w:rFonts w:hint="eastAsia" w:ascii="仿宋_GB2312" w:hAnsi="黑体" w:eastAsia="仿宋_GB2312"/>
                <w:sz w:val="24"/>
                <w:lang w:eastAsia="zh-CN"/>
              </w:rPr>
              <w:t>提升</w:t>
            </w:r>
            <w:r>
              <w:rPr>
                <w:rFonts w:hint="eastAsia" w:ascii="仿宋_GB2312" w:hAnsi="黑体" w:eastAsia="仿宋_GB2312"/>
                <w:sz w:val="24"/>
              </w:rPr>
              <w:t>奖励申请表》（详见附表），并上传相关附件。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50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2</w:t>
            </w:r>
          </w:p>
        </w:tc>
        <w:tc>
          <w:tcPr>
            <w:tcW w:w="7612" w:type="dxa"/>
            <w:noWrap w:val="0"/>
            <w:vAlign w:val="center"/>
          </w:tcPr>
          <w:p>
            <w:pPr>
              <w:spacing w:line="360" w:lineRule="exact"/>
              <w:jc w:val="left"/>
              <w:rPr>
                <w:rFonts w:ascii="仿宋_GB2312" w:hAnsi="黑体" w:eastAsia="仿宋_GB2312"/>
                <w:sz w:val="24"/>
                <w:szCs w:val="24"/>
              </w:rPr>
            </w:pPr>
            <w:r>
              <w:rPr>
                <w:rFonts w:hint="eastAsia" w:ascii="仿宋_GB2312" w:hAnsi="黑体" w:eastAsia="仿宋_GB2312"/>
                <w:sz w:val="24"/>
              </w:rPr>
              <w:t>根据短信提醒，查看审核、公示进展。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500" w:lineRule="exact"/>
              <w:jc w:val="center"/>
              <w:rPr>
                <w:rFonts w:ascii="仿宋_GB2312" w:hAnsi="黑体" w:eastAsia="仿宋_GB2312"/>
                <w:sz w:val="24"/>
                <w:szCs w:val="24"/>
              </w:rPr>
            </w:pPr>
          </w:p>
        </w:tc>
        <w:tc>
          <w:tcPr>
            <w:tcW w:w="661" w:type="dxa"/>
            <w:noWrap w:val="0"/>
            <w:vAlign w:val="center"/>
          </w:tcPr>
          <w:p>
            <w:pPr>
              <w:spacing w:line="360" w:lineRule="exact"/>
              <w:jc w:val="center"/>
              <w:rPr>
                <w:rFonts w:ascii="仿宋_GB2312" w:hAnsi="黑体" w:eastAsia="仿宋_GB2312"/>
                <w:sz w:val="24"/>
                <w:szCs w:val="24"/>
              </w:rPr>
            </w:pPr>
            <w:r>
              <w:rPr>
                <w:rFonts w:hint="eastAsia" w:ascii="Times New Roman" w:hAnsi="Times New Roman" w:eastAsia="仿宋_GB2312"/>
                <w:sz w:val="24"/>
                <w:szCs w:val="24"/>
              </w:rPr>
              <w:t>3</w:t>
            </w:r>
          </w:p>
        </w:tc>
        <w:tc>
          <w:tcPr>
            <w:tcW w:w="7612" w:type="dxa"/>
            <w:noWrap w:val="0"/>
            <w:vAlign w:val="center"/>
          </w:tcPr>
          <w:p>
            <w:pPr>
              <w:spacing w:line="360" w:lineRule="exact"/>
              <w:jc w:val="left"/>
              <w:rPr>
                <w:rFonts w:ascii="仿宋_GB2312" w:hAnsi="黑体" w:eastAsia="仿宋_GB2312"/>
                <w:sz w:val="24"/>
                <w:szCs w:val="24"/>
              </w:rPr>
            </w:pPr>
            <w:r>
              <w:rPr>
                <w:rFonts w:hint="eastAsia" w:ascii="仿宋_GB2312" w:hAnsi="黑体" w:eastAsia="仿宋_GB2312"/>
                <w:sz w:val="24"/>
              </w:rPr>
              <w:t>确认按提供的基本户账户收到奖补资金（无需提供收款凭据）。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restart"/>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szCs w:val="24"/>
              </w:rPr>
              <w:t>政府</w:t>
            </w:r>
            <w:r>
              <w:rPr>
                <w:rFonts w:ascii="仿宋_GB2312" w:hAnsi="黑体" w:eastAsia="仿宋_GB2312"/>
                <w:sz w:val="24"/>
                <w:szCs w:val="24"/>
              </w:rPr>
              <w:t>内部</w:t>
            </w:r>
            <w:r>
              <w:rPr>
                <w:rFonts w:hint="eastAsia" w:ascii="仿宋_GB2312" w:hAnsi="黑体" w:eastAsia="仿宋_GB2312"/>
                <w:sz w:val="24"/>
                <w:szCs w:val="24"/>
              </w:rPr>
              <w:t>流转流程</w:t>
            </w: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1</w:t>
            </w:r>
          </w:p>
        </w:tc>
        <w:tc>
          <w:tcPr>
            <w:tcW w:w="7612"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rPr>
              <w:t>市经信</w:t>
            </w:r>
            <w:r>
              <w:rPr>
                <w:rFonts w:hint="eastAsia" w:ascii="仿宋_GB2312" w:hAnsi="黑体" w:eastAsia="仿宋_GB2312"/>
                <w:sz w:val="24"/>
                <w:lang w:eastAsia="zh-CN"/>
              </w:rPr>
              <w:t>局</w:t>
            </w:r>
            <w:r>
              <w:rPr>
                <w:rFonts w:hint="eastAsia" w:ascii="仿宋_GB2312" w:hAnsi="黑体" w:eastAsia="仿宋_GB2312"/>
                <w:sz w:val="24"/>
              </w:rPr>
              <w:t>发布申报通知，并启动项目申报工作。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2</w:t>
            </w:r>
          </w:p>
        </w:tc>
        <w:tc>
          <w:tcPr>
            <w:tcW w:w="7612"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sz w:val="24"/>
              </w:rPr>
              <w:t>系统按照企业申报时财政收入贡献归属区域向相应的经信部门转派在线审查任务。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3</w:t>
            </w:r>
          </w:p>
        </w:tc>
        <w:tc>
          <w:tcPr>
            <w:tcW w:w="7612" w:type="dxa"/>
            <w:noWrap w:val="0"/>
            <w:vAlign w:val="top"/>
          </w:tcPr>
          <w:p>
            <w:pPr>
              <w:spacing w:line="360" w:lineRule="exact"/>
              <w:jc w:val="left"/>
              <w:rPr>
                <w:rFonts w:ascii="仿宋_GB2312" w:hAnsi="黑体" w:eastAsia="仿宋_GB2312"/>
                <w:sz w:val="24"/>
                <w:szCs w:val="24"/>
              </w:rPr>
            </w:pPr>
            <w:r>
              <w:rPr>
                <w:rFonts w:hint="eastAsia" w:ascii="仿宋_GB2312" w:hAnsi="黑体" w:eastAsia="仿宋_GB2312" w:cs="Times New Roman"/>
                <w:sz w:val="24"/>
              </w:rPr>
              <w:t>属地经信部门委托有资质的会计师事务所对申报的企业集中进行专项审计（主要审计企业</w:t>
            </w:r>
            <w:r>
              <w:rPr>
                <w:rFonts w:hint="eastAsia" w:ascii="仿宋_GB2312" w:hAnsi="黑体" w:eastAsia="仿宋_GB2312" w:cs="Times New Roman"/>
                <w:sz w:val="24"/>
                <w:lang w:eastAsia="zh-CN"/>
              </w:rPr>
              <w:t>新入选新能源汽车整车企业一级配套供应商及</w:t>
            </w:r>
            <w:r>
              <w:rPr>
                <w:rFonts w:hint="eastAsia" w:ascii="仿宋_GB2312" w:hAnsi="黑体" w:eastAsia="仿宋_GB2312" w:cs="Times New Roman"/>
                <w:sz w:val="24"/>
              </w:rPr>
              <w:t>一年内的销量情况），在25个工作日内完成审计并上传审计报告。</w:t>
            </w:r>
            <w:r>
              <w:rPr>
                <w:rFonts w:hint="eastAsia" w:ascii="仿宋_GB2312" w:hAnsi="黑体" w:eastAsia="仿宋_GB2312" w:cs="Times New Roman"/>
                <w:sz w:val="24"/>
                <w:lang w:eastAsia="zh-CN"/>
              </w:rPr>
              <w:t>市、区两级经信部门</w:t>
            </w:r>
            <w:r>
              <w:rPr>
                <w:rFonts w:hint="eastAsia" w:ascii="仿宋_GB2312" w:hAnsi="黑体" w:eastAsia="仿宋_GB2312" w:cs="Times New Roman"/>
                <w:sz w:val="24"/>
              </w:rPr>
              <w:t>在</w:t>
            </w:r>
            <w:r>
              <w:rPr>
                <w:rFonts w:hint="eastAsia" w:ascii="仿宋_GB2312" w:hAnsi="黑体" w:eastAsia="仿宋_GB2312" w:cs="Times New Roman"/>
                <w:sz w:val="24"/>
                <w:lang w:val="en-US" w:eastAsia="zh-CN"/>
              </w:rPr>
              <w:t>30</w:t>
            </w:r>
            <w:r>
              <w:rPr>
                <w:rFonts w:hint="eastAsia" w:ascii="仿宋_GB2312" w:hAnsi="黑体" w:eastAsia="仿宋_GB2312" w:cs="Times New Roman"/>
                <w:sz w:val="24"/>
              </w:rPr>
              <w:t>个工作日内完成在线审查。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4</w:t>
            </w:r>
          </w:p>
        </w:tc>
        <w:tc>
          <w:tcPr>
            <w:tcW w:w="7612" w:type="dxa"/>
            <w:noWrap w:val="0"/>
            <w:vAlign w:val="center"/>
          </w:tcPr>
          <w:p>
            <w:pPr>
              <w:spacing w:line="400" w:lineRule="exact"/>
              <w:jc w:val="left"/>
              <w:rPr>
                <w:rFonts w:ascii="仿宋_GB2312" w:hAnsi="黑体" w:eastAsia="仿宋_GB2312"/>
                <w:sz w:val="24"/>
                <w:szCs w:val="24"/>
              </w:rPr>
            </w:pPr>
            <w:r>
              <w:rPr>
                <w:rFonts w:hint="eastAsia" w:ascii="仿宋_GB2312" w:hAnsi="黑体" w:eastAsia="仿宋_GB2312"/>
                <w:sz w:val="24"/>
              </w:rPr>
              <w:t>通过审定的拟补贴项目在线公示</w:t>
            </w:r>
            <w:r>
              <w:rPr>
                <w:rFonts w:ascii="仿宋_GB2312" w:hAnsi="黑体" w:eastAsia="仿宋_GB2312"/>
                <w:sz w:val="24"/>
              </w:rPr>
              <w:t>3</w:t>
            </w:r>
            <w:r>
              <w:rPr>
                <w:rFonts w:hint="eastAsia" w:ascii="仿宋_GB2312" w:hAnsi="黑体" w:eastAsia="仿宋_GB2312"/>
                <w:sz w:val="24"/>
              </w:rPr>
              <w:t>个工作日，并向企业发送公示提醒。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675" w:type="dxa"/>
            <w:vMerge w:val="continue"/>
            <w:noWrap w:val="0"/>
            <w:vAlign w:val="center"/>
          </w:tcPr>
          <w:p>
            <w:pPr>
              <w:spacing w:line="400" w:lineRule="exact"/>
              <w:jc w:val="left"/>
              <w:rPr>
                <w:rFonts w:ascii="仿宋_GB2312" w:hAnsi="黑体" w:eastAsia="仿宋_GB2312"/>
                <w:sz w:val="24"/>
                <w:szCs w:val="24"/>
              </w:rPr>
            </w:pPr>
          </w:p>
        </w:tc>
        <w:tc>
          <w:tcPr>
            <w:tcW w:w="661" w:type="dxa"/>
            <w:noWrap w:val="0"/>
            <w:vAlign w:val="center"/>
          </w:tcPr>
          <w:p>
            <w:pPr>
              <w:spacing w:line="400" w:lineRule="exact"/>
              <w:jc w:val="center"/>
              <w:rPr>
                <w:rFonts w:ascii="仿宋_GB2312" w:hAnsi="黑体" w:eastAsia="仿宋_GB2312"/>
                <w:sz w:val="24"/>
                <w:szCs w:val="24"/>
              </w:rPr>
            </w:pPr>
            <w:r>
              <w:rPr>
                <w:rFonts w:hint="eastAsia" w:ascii="Times New Roman" w:hAnsi="Times New Roman" w:eastAsia="仿宋_GB2312"/>
                <w:sz w:val="24"/>
                <w:szCs w:val="24"/>
              </w:rPr>
              <w:t>5</w:t>
            </w:r>
          </w:p>
        </w:tc>
        <w:tc>
          <w:tcPr>
            <w:tcW w:w="7612" w:type="dxa"/>
            <w:noWrap w:val="0"/>
            <w:vAlign w:val="top"/>
          </w:tcPr>
          <w:p>
            <w:pPr>
              <w:spacing w:line="400" w:lineRule="exact"/>
              <w:jc w:val="left"/>
              <w:rPr>
                <w:rFonts w:ascii="仿宋_GB2312" w:hAnsi="黑体" w:eastAsia="仿宋_GB2312"/>
                <w:sz w:val="24"/>
                <w:szCs w:val="24"/>
              </w:rPr>
            </w:pPr>
            <w:r>
              <w:rPr>
                <w:rFonts w:hint="eastAsia" w:ascii="仿宋_GB2312" w:hAnsi="黑体" w:eastAsia="仿宋_GB2312"/>
                <w:sz w:val="24"/>
              </w:rPr>
              <w:t>经公示无异议后，属地经信部门依据电子审批单在</w:t>
            </w:r>
            <w:r>
              <w:rPr>
                <w:rFonts w:ascii="仿宋_GB2312" w:hAnsi="黑体" w:eastAsia="仿宋_GB2312"/>
                <w:sz w:val="24"/>
              </w:rPr>
              <w:t>5</w:t>
            </w:r>
            <w:r>
              <w:rPr>
                <w:rFonts w:hint="eastAsia" w:ascii="仿宋_GB2312" w:hAnsi="黑体" w:eastAsia="仿宋_GB2312"/>
                <w:sz w:val="24"/>
              </w:rPr>
              <w:t>个工作日内向企业《申请表》中提供的基本户账户拨付奖补资金（</w:t>
            </w:r>
            <w:r>
              <w:rPr>
                <w:rFonts w:hint="eastAsia" w:ascii="仿宋_GB2312" w:hAnsi="方正仿宋_GBK" w:eastAsia="仿宋_GB2312" w:cs="方正仿宋_GBK"/>
                <w:sz w:val="24"/>
              </w:rPr>
              <w:t>功能区财政直接拨付给企业除外</w:t>
            </w:r>
            <w:r>
              <w:rPr>
                <w:rFonts w:hint="eastAsia" w:ascii="仿宋_GB2312" w:hAnsi="黑体" w:eastAsia="仿宋_GB2312"/>
                <w:sz w:val="24"/>
              </w:rPr>
              <w:t>），并在系统上及时确认资金到位。</w:t>
            </w:r>
          </w:p>
        </w:tc>
      </w:tr>
    </w:tbl>
    <w:p>
      <w:pPr>
        <w:widowControl/>
        <w:jc w:val="left"/>
        <w:rPr>
          <w:rFonts w:hint="eastAsia"/>
        </w:rPr>
      </w:pPr>
      <w:r>
        <w:rPr>
          <w:rFonts w:hint="eastAsia"/>
        </w:rPr>
        <w:t xml:space="preserve"> </w:t>
      </w:r>
    </w:p>
    <w:p>
      <w:bookmarkStart w:id="7" w:name="_GoBack"/>
      <w:bookmarkEnd w:id="7"/>
    </w:p>
    <w:sectPr>
      <w:footerReference r:id="rId3" w:type="default"/>
      <w:pgSz w:w="11906" w:h="16838"/>
      <w:pgMar w:top="1701" w:right="1701" w:bottom="1701" w:left="1701" w:header="851" w:footer="992" w:gutter="0"/>
      <w:cols w:space="72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sz w:val="24"/>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ascii="宋体" w:hAnsi="宋体" w:eastAsia="宋体"/>
                              <w:sz w:val="24"/>
                              <w:szCs w:val="24"/>
                            </w:rPr>
                            <w:t>- 4 -</w:t>
                          </w:r>
                          <w:r>
                            <w:rPr>
                              <w:rFonts w:hint="eastAsia" w:ascii="宋体" w:hAnsi="宋体" w:eastAsia="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v:imagedata o:title=""/>
              <o:lock v:ext="edit" aspectratio="f"/>
              <v:textbox inset="0mm,0mm,0mm,0mm" style="mso-fit-shape-to-text:t;">
                <w:txbxContent>
                  <w:p>
                    <w:pPr>
                      <w:pStyle w:val="3"/>
                      <w:rPr>
                        <w:rFonts w:ascii="宋体" w:hAnsi="宋体" w:eastAsia="宋体"/>
                        <w:sz w:val="24"/>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ascii="宋体" w:hAnsi="宋体" w:eastAsia="宋体"/>
                        <w:sz w:val="24"/>
                        <w:szCs w:val="24"/>
                      </w:rPr>
                      <w:t>- 4 -</w:t>
                    </w:r>
                    <w:r>
                      <w:rPr>
                        <w:rFonts w:hint="eastAsia" w:ascii="宋体" w:hAnsi="宋体" w:eastAsia="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ZDBiM2E1ZDE0YmZlZTNiNjQxMWMyMGZhZTNiZTMifQ=="/>
  </w:docVars>
  <w:rsids>
    <w:rsidRoot w:val="2A3755CB"/>
    <w:rsid w:val="2A375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sz w:val="3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2023-07-11T09:05:00Z</dcterms:created>
  <dc:creator>陈文平</dc:creator>
  <cp:lastModifiedBy>陈文平</cp:lastModifiedBy>
  <dcterms:modified xsi:type="dcterms:W3CDTF">2023-07-11T09:06:11Z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20A842DDB6FF472B931222B60E041AA9_11</vt:lpwstr>
  </property>
</Properties>
</file>