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信息基础网络类IPv6改造奖励申报要求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对骨干光网、移动网、广电网、云计算中心等信息基础网络进行</w:t>
      </w:r>
      <w:r>
        <w:rPr>
          <w:rFonts w:ascii="仿宋_GB2312" w:eastAsia="仿宋_GB2312"/>
          <w:sz w:val="32"/>
          <w:szCs w:val="32"/>
        </w:rPr>
        <w:t>IPv6</w:t>
      </w:r>
      <w:r>
        <w:rPr>
          <w:rFonts w:hint="eastAsia" w:ascii="仿宋_GB2312" w:eastAsia="仿宋_GB2312"/>
          <w:sz w:val="32"/>
          <w:szCs w:val="32"/>
        </w:rPr>
        <w:t>升级改造的企业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按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</w:rPr>
        <w:t>9年</w:t>
      </w:r>
      <w:r>
        <w:rPr>
          <w:rFonts w:ascii="仿宋_GB2312" w:hAnsi="黑体" w:eastAsia="仿宋_GB2312"/>
          <w:sz w:val="32"/>
          <w:szCs w:val="32"/>
        </w:rPr>
        <w:t>-20</w:t>
      </w:r>
      <w:r>
        <w:rPr>
          <w:rFonts w:hint="eastAsia" w:ascii="仿宋_GB2312" w:hAnsi="黑体" w:eastAsia="仿宋_GB2312"/>
          <w:sz w:val="32"/>
          <w:szCs w:val="32"/>
        </w:rPr>
        <w:t>20年设备、软件、集成投入的</w:t>
      </w:r>
      <w:r>
        <w:rPr>
          <w:rFonts w:ascii="仿宋_GB2312" w:hAnsi="黑体" w:eastAsia="仿宋_GB2312"/>
          <w:sz w:val="32"/>
          <w:szCs w:val="32"/>
        </w:rPr>
        <w:t>10%</w:t>
      </w:r>
      <w:r>
        <w:rPr>
          <w:rFonts w:hint="eastAsia" w:ascii="仿宋_GB2312" w:hAnsi="黑体" w:eastAsia="仿宋_GB2312"/>
          <w:sz w:val="32"/>
          <w:szCs w:val="32"/>
        </w:rPr>
        <w:t>，给予不超过</w:t>
      </w:r>
      <w:r>
        <w:rPr>
          <w:rFonts w:ascii="仿宋_GB2312" w:hAnsi="黑体" w:eastAsia="仿宋_GB2312"/>
          <w:sz w:val="32"/>
          <w:szCs w:val="32"/>
        </w:rPr>
        <w:t>200</w:t>
      </w:r>
      <w:r>
        <w:rPr>
          <w:rFonts w:hint="eastAsia" w:ascii="仿宋_GB2312" w:hAnsi="黑体" w:eastAsia="仿宋_GB2312"/>
          <w:sz w:val="32"/>
          <w:szCs w:val="32"/>
        </w:rPr>
        <w:t>万元的奖励(2019年已奖励部分发票不得重复申请)。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</w:t>
      </w:r>
      <w:r>
        <w:rPr>
          <w:rFonts w:hint="eastAsia" w:ascii="黑体" w:hAnsi="黑体" w:eastAsia="黑体"/>
          <w:color w:val="auto"/>
        </w:rPr>
        <w:t>、申报资料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项目总结报告、投资项目清单、专项审计报告等。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符合条件的</w:t>
      </w:r>
      <w:r>
        <w:rPr>
          <w:rFonts w:hint="eastAsia" w:ascii="仿宋_GB2312" w:hAnsi="Times New Roman" w:eastAsia="仿宋_GB2312"/>
          <w:sz w:val="32"/>
          <w:szCs w:val="32"/>
        </w:rPr>
        <w:t>企业于</w:t>
      </w:r>
      <w:r>
        <w:rPr>
          <w:rFonts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20年9月15日前，登录温州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产业政策奖励兑现系统（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网址：</w:t>
      </w:r>
      <w:r>
        <w:fldChar w:fldCharType="begin"/>
      </w:r>
      <w:r>
        <w:instrText xml:space="preserve"> HYPERLINK "http://reward.wenzhou.gov.cn），在线填写并提交《制造业创新中心、企业技术中心奖励申请表》。"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http://reward.wenzhou.gov.cn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），在线填写申请表，并上传相关材料；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（二）属地经信部门根据相关材料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15个工作日内完成在线审查；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（三）通过审定的拟奖补项目在线公示3个工作日，并向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企业发送公示提醒；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（四）属地经信部门在公示结束后5个工作日内拨付奖补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资金。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FDCB"/>
    <w:multiLevelType w:val="singleLevel"/>
    <w:tmpl w:val="6DC2FDCB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7DF6E1CB"/>
    <w:multiLevelType w:val="singleLevel"/>
    <w:tmpl w:val="7DF6E1CB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85F02"/>
    <w:rsid w:val="081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2020-08-24T08:25:00Z</dcterms:created>
  <dc:creator>宝贝霓霓</dc:creator>
  <cp:lastModifiedBy>宝贝霓霓</cp:lastModifiedBy>
  <dcterms:modified xsi:type="dcterms:W3CDTF">2020-08-24T08:25:19Z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