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温州市信息消费体验中心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创建单位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评估体系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指标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分数</w:t>
            </w:r>
          </w:p>
        </w:tc>
        <w:tc>
          <w:tcPr>
            <w:tcW w:w="58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基础功能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30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体验中心具备核心展示、开放体验和运营服务等功能。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展示内容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  <w:lang w:val="en-US" w:eastAsia="zh-CN"/>
              </w:rPr>
              <w:t>10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展示的信息消费产品和服务种类丰富，具有技术典型性、行业代表性。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  <w:lang w:val="en-US" w:eastAsia="zh-CN"/>
              </w:rPr>
              <w:t>10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  <w:lang w:eastAsia="zh-CN"/>
              </w:rPr>
              <w:t>推广形式多样，</w:t>
            </w: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提供服务专员讲解、现场演示和交流互动等体验方式。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经济效益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20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对申报单位的业务收入、利润等经济指标具有提升作用。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社会效益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20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客流量大，</w:t>
            </w:r>
            <w:r>
              <w:rPr>
                <w:rFonts w:hint="eastAsia" w:ascii="仿宋_GB2312" w:hAnsi="仿宋_GB2312" w:eastAsia="仿宋_GB2312" w:cs="仿宋_GB2312"/>
                <w:sz w:val="28"/>
                <w:szCs w:val="30"/>
                <w:lang w:eastAsia="zh-CN"/>
              </w:rPr>
              <w:t>带动效应强，辐射范围广，</w:t>
            </w: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引领信息消费，对产业升级、民生服务、城市管理等领域具有促进作用。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推广前景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10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展厅布置、运营模式、体验互动等具有创新性，且具有推广可行性。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100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永中黑体" w:hAnsi="永中黑体" w:eastAsia="永中黑体" w:cs="永中黑体"/>
          <w:b w:val="0"/>
          <w:bCs w:val="0"/>
          <w:sz w:val="30"/>
          <w:szCs w:val="30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4BD0"/>
    <w:rsid w:val="6D6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2021-10-22T02:27:00Z</dcterms:created>
  <dc:creator>Administrator</dc:creator>
  <cp:lastModifiedBy>Administrator</cp:lastModifiedBy>
  <dcterms:modified xsi:type="dcterms:W3CDTF">2021-10-22T02:27:39Z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FE3383D35592405BA745FC86B543CA83</vt:lpwstr>
  </property>
</Properties>
</file>