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工业设计</w:t>
      </w:r>
      <w:r>
        <w:rPr>
          <w:rFonts w:ascii="Times New Roman" w:hAnsi="Times New Roman" w:eastAsia="方正小标宋简体"/>
          <w:sz w:val="44"/>
          <w:szCs w:val="44"/>
        </w:rPr>
        <w:t>诊断服务评价表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（企业评价）</w:t>
      </w:r>
    </w:p>
    <w:p>
      <w:pPr>
        <w:widowControl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企业名称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</w:p>
    <w:p>
      <w:pPr>
        <w:widowControl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</w:t>
      </w:r>
    </w:p>
    <w:tbl>
      <w:tblPr>
        <w:tblStyle w:val="3"/>
        <w:tblpPr w:leftFromText="180" w:rightFromText="180" w:vertAnchor="text" w:horzAnchor="page" w:tblpX="1404" w:tblpY="31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111"/>
        <w:gridCol w:w="1112"/>
        <w:gridCol w:w="1134"/>
        <w:gridCol w:w="1220"/>
        <w:gridCol w:w="1116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56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很好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较好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较差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很差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服务能力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服务机构或专家的专业性和提供服务的能力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服务水平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服务机构或专家为企业提供服务的水平。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服务效果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服务机构或专家诊断服务所产生的效果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后续跟踪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服务机构或专家是否存在后续跟踪和指导。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企业对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工业设计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诊断服务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总体评价意见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诊断服务商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名称：     </w:t>
      </w:r>
    </w:p>
    <w:p>
      <w:pPr>
        <w:ind w:left="-567" w:leftChars="-27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诊断项目负责人：               企业主要负责人：                年   月   日  </w:t>
      </w:r>
    </w:p>
    <w:p>
      <w:pPr>
        <w:ind w:left="-567" w:leftChars="-270" w:firstLine="480" w:firstLineChars="200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525C"/>
    <w:rsid w:val="78B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2020-07-13T02:41:00Z</dcterms:created>
  <dc:creator>宝贝霓霓</dc:creator>
  <cp:lastModifiedBy>宝贝霓霓</cp:lastModifiedBy>
  <dcterms:modified xsi:type="dcterms:W3CDTF">2020-07-13T02:41:55Z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