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600" w:lineRule="exact"/>
        <w:contextualSpacing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工业设计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诊断服务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申报书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contextualSpacing/>
        <w:textAlignment w:val="auto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  <w:lang w:bidi="ar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简述发展历程、主营业务、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和服务能力；在温分支机构情况等。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contextualSpacing/>
        <w:textAlignment w:val="auto"/>
        <w:rPr>
          <w:rFonts w:ascii="黑体" w:hAnsi="黑体" w:eastAsia="黑体" w:cs="楷体_GB2312"/>
          <w:sz w:val="32"/>
          <w:szCs w:val="32"/>
          <w:lang w:bidi="ar"/>
        </w:rPr>
      </w:pPr>
      <w:r>
        <w:rPr>
          <w:rFonts w:hint="eastAsia" w:ascii="黑体" w:hAnsi="黑体" w:eastAsia="黑体" w:cs="楷体_GB2312"/>
          <w:sz w:val="32"/>
          <w:szCs w:val="32"/>
          <w:lang w:bidi="ar"/>
        </w:rPr>
        <w:t>二、团队实力介绍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或服务团队（10人以内）情况，包括团队人数、学历情况以及负责人、核心团队成员资历；在温常驻人员情况。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contextualSpacing/>
        <w:textAlignment w:val="auto"/>
        <w:rPr>
          <w:rFonts w:ascii="黑体" w:hAnsi="黑体" w:eastAsia="黑体" w:cs="楷体_GB2312"/>
          <w:sz w:val="32"/>
          <w:szCs w:val="32"/>
          <w:lang w:bidi="ar"/>
        </w:rPr>
      </w:pPr>
      <w:r>
        <w:rPr>
          <w:rFonts w:hint="eastAsia" w:ascii="黑体" w:hAnsi="黑体" w:eastAsia="黑体" w:cs="楷体_GB2312"/>
          <w:sz w:val="32"/>
          <w:szCs w:val="32"/>
          <w:lang w:bidi="ar"/>
        </w:rPr>
        <w:t>三、主要产品或服务介绍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主要产品或服务的实施案例数量和说明，特别是在温州市域范围内实施的案例。（选择2个案例做具体介绍）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640"/>
        <w:contextualSpacing/>
        <w:textAlignment w:val="auto"/>
        <w:rPr>
          <w:rFonts w:ascii="黑体" w:hAnsi="黑体" w:eastAsia="黑体" w:cs="楷体"/>
          <w:sz w:val="32"/>
          <w:szCs w:val="32"/>
          <w:lang w:bidi="ar"/>
        </w:rPr>
      </w:pPr>
      <w:r>
        <w:rPr>
          <w:rFonts w:hint="eastAsia" w:ascii="黑体" w:hAnsi="黑体" w:eastAsia="黑体" w:cs="楷体"/>
          <w:sz w:val="32"/>
          <w:szCs w:val="32"/>
          <w:lang w:bidi="ar"/>
        </w:rPr>
        <w:t>四、咨询诊断服务实施计划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00"/>
        <w:contextualSpacing/>
        <w:textAlignment w:val="auto"/>
        <w:rPr>
          <w:rFonts w:ascii="仿宋_GB2312" w:eastAsia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 xml:space="preserve">   诊断咨询具体实施人员、所承担的职责和从业经验介绍。咨询诊断及初步方案设计的</w:t>
      </w:r>
      <w:r>
        <w:rPr>
          <w:rFonts w:hint="eastAsia" w:ascii="仿宋_GB2312" w:hAnsi="仿宋_GB2312" w:eastAsia="仿宋_GB2312" w:cs="仿宋_GB2312"/>
          <w:sz w:val="32"/>
          <w:szCs w:val="32"/>
        </w:rPr>
        <w:t>诊断咨询体系、方法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、流程、时间安排及服务承诺。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contextualSpacing/>
        <w:textAlignment w:val="auto"/>
        <w:rPr>
          <w:rFonts w:ascii="黑体" w:hAnsi="黑体" w:eastAsia="黑体" w:cs="楷体"/>
          <w:sz w:val="32"/>
          <w:szCs w:val="32"/>
          <w:lang w:bidi="ar"/>
        </w:rPr>
      </w:pPr>
      <w:r>
        <w:rPr>
          <w:rFonts w:hint="eastAsia" w:ascii="黑体" w:hAnsi="黑体" w:eastAsia="黑体" w:cs="楷体"/>
          <w:sz w:val="32"/>
          <w:szCs w:val="32"/>
          <w:lang w:bidi="ar"/>
        </w:rPr>
        <w:t>五、相关证明材料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主要包括但不限于：1、企业法人营业执照/组织机构代码证；2、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工业设计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、服务及核心竞争力证明材料及相关认证证书；3、承担或参与国家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、省、市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设计或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获得国家相关部门行业推荐的证明材料；4、主要专家/技术团队资质相关证明材料。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B4291"/>
    <w:rsid w:val="5B9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2020-07-13T02:40:00Z</dcterms:created>
  <dc:creator>宝贝霓霓</dc:creator>
  <cp:lastModifiedBy>宝贝霓霓</cp:lastModifiedBy>
  <dcterms:modified xsi:type="dcterms:W3CDTF">2020-07-13T02:40:36Z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